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7" w:rsidRDefault="00193EC7" w:rsidP="00193EC7">
      <w:pPr>
        <w:spacing w:line="276" w:lineRule="auto"/>
        <w:ind w:firstLine="708"/>
        <w:jc w:val="both"/>
      </w:pPr>
      <w:r>
        <w:t>Информация о ходе реализации</w:t>
      </w:r>
    </w:p>
    <w:p w:rsidR="00193EC7" w:rsidRDefault="00193EC7" w:rsidP="00193EC7">
      <w:pPr>
        <w:spacing w:line="276" w:lineRule="auto"/>
        <w:ind w:firstLine="708"/>
        <w:jc w:val="both"/>
      </w:pPr>
      <w:r>
        <w:t xml:space="preserve">Национального проекта «Культура» </w:t>
      </w:r>
    </w:p>
    <w:p w:rsidR="00193EC7" w:rsidRDefault="00193EC7" w:rsidP="00193EC7">
      <w:pPr>
        <w:spacing w:line="276" w:lineRule="auto"/>
        <w:ind w:firstLine="708"/>
        <w:jc w:val="both"/>
      </w:pPr>
      <w:r>
        <w:t xml:space="preserve">за </w:t>
      </w:r>
      <w:r>
        <w:rPr>
          <w:lang w:val="en-US"/>
        </w:rPr>
        <w:t>I</w:t>
      </w:r>
      <w:r w:rsidRPr="00193EC7">
        <w:t xml:space="preserve"> </w:t>
      </w:r>
      <w:r>
        <w:t>квартал 2020 года</w:t>
      </w:r>
    </w:p>
    <w:p w:rsidR="00193EC7" w:rsidRDefault="00193EC7" w:rsidP="00193EC7">
      <w:pPr>
        <w:spacing w:line="276" w:lineRule="auto"/>
        <w:ind w:firstLine="708"/>
        <w:jc w:val="both"/>
      </w:pPr>
    </w:p>
    <w:p w:rsidR="00193EC7" w:rsidRPr="00193EC7" w:rsidRDefault="00193EC7" w:rsidP="00193EC7">
      <w:pPr>
        <w:spacing w:line="276" w:lineRule="auto"/>
        <w:ind w:firstLine="708"/>
        <w:jc w:val="both"/>
      </w:pPr>
    </w:p>
    <w:p w:rsidR="00193EC7" w:rsidRDefault="00193EC7" w:rsidP="00193EC7">
      <w:pPr>
        <w:spacing w:after="200" w:line="276" w:lineRule="auto"/>
        <w:ind w:firstLine="708"/>
        <w:jc w:val="both"/>
      </w:pPr>
      <w:proofErr w:type="gramStart"/>
      <w:r>
        <w:t>На 2020 год в рамках федерального проекта «Обеспечение качественно нового уровня развития инфраструктуры культуры («Культурная среда»)» подпрограммы 4 «Обеспечение условий реализации» государственной программы Российской Федерации «Развитие культуры и туризма», утвержденной постановлением Правительства Российской Федерации от 15.04.2014 № 317 заключено 11 соглашений с муниципальными образованиями на общую сумму 148 965, 2 тыс. рублей по следующим объектам:</w:t>
      </w:r>
      <w:proofErr w:type="gramEnd"/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"Капитальный ремонт дома культуры </w:t>
      </w:r>
      <w:r>
        <w:rPr>
          <w:b/>
        </w:rPr>
        <w:t xml:space="preserve">с. </w:t>
      </w:r>
      <w:proofErr w:type="spellStart"/>
      <w:r>
        <w:rPr>
          <w:b/>
        </w:rPr>
        <w:t>Даусуз</w:t>
      </w:r>
      <w:proofErr w:type="spellEnd"/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  <w:rPr>
          <w:b/>
        </w:rPr>
      </w:pPr>
      <w:r>
        <w:t xml:space="preserve">"Капитальный ремонт дома культуры </w:t>
      </w:r>
      <w:r>
        <w:rPr>
          <w:b/>
        </w:rPr>
        <w:t xml:space="preserve">с. </w:t>
      </w:r>
      <w:proofErr w:type="spellStart"/>
      <w:r>
        <w:rPr>
          <w:b/>
        </w:rPr>
        <w:t>Хасаут</w:t>
      </w:r>
      <w:proofErr w:type="spellEnd"/>
      <w:r>
        <w:rPr>
          <w:b/>
        </w:rPr>
        <w:t>-Греческий;</w:t>
      </w:r>
    </w:p>
    <w:p w:rsidR="00193EC7" w:rsidRDefault="00193EC7" w:rsidP="00193EC7">
      <w:pPr>
        <w:numPr>
          <w:ilvl w:val="0"/>
          <w:numId w:val="1"/>
        </w:numPr>
        <w:spacing w:after="200"/>
        <w:rPr>
          <w:b/>
        </w:rPr>
      </w:pPr>
      <w:r>
        <w:t xml:space="preserve">"Капитальный ремонт дома культуры </w:t>
      </w:r>
      <w:r>
        <w:rPr>
          <w:b/>
        </w:rPr>
        <w:t>в Нижне-Тебердинском сельском поселении;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"Капитальный ремонт дома культуры </w:t>
      </w:r>
      <w:proofErr w:type="gramStart"/>
      <w:r>
        <w:t>в</w:t>
      </w:r>
      <w:proofErr w:type="gramEnd"/>
      <w:r>
        <w:t xml:space="preserve"> </w:t>
      </w:r>
      <w:r>
        <w:rPr>
          <w:b/>
        </w:rPr>
        <w:t>а. Икон-</w:t>
      </w:r>
      <w:proofErr w:type="spellStart"/>
      <w:r>
        <w:rPr>
          <w:b/>
        </w:rPr>
        <w:t>Халк</w:t>
      </w:r>
      <w:proofErr w:type="spellEnd"/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Капитальный ремонт дома культуры </w:t>
      </w:r>
      <w:proofErr w:type="gramStart"/>
      <w:r>
        <w:t>в</w:t>
      </w:r>
      <w:proofErr w:type="gramEnd"/>
      <w:r>
        <w:t xml:space="preserve"> </w:t>
      </w:r>
      <w:r>
        <w:rPr>
          <w:b/>
        </w:rPr>
        <w:t>с. Дружба</w:t>
      </w:r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"Капитальный ремонт дома культуры </w:t>
      </w:r>
      <w:proofErr w:type="gramStart"/>
      <w:r>
        <w:t>в</w:t>
      </w:r>
      <w:proofErr w:type="gramEnd"/>
      <w:r>
        <w:t xml:space="preserve"> </w:t>
      </w:r>
      <w:r>
        <w:rPr>
          <w:b/>
        </w:rPr>
        <w:t xml:space="preserve">а. </w:t>
      </w:r>
      <w:proofErr w:type="spellStart"/>
      <w:r>
        <w:rPr>
          <w:b/>
        </w:rPr>
        <w:t>Джегута</w:t>
      </w:r>
      <w:proofErr w:type="spellEnd"/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"Капитальный ремонт дома культуры в </w:t>
      </w:r>
      <w:r>
        <w:rPr>
          <w:b/>
        </w:rPr>
        <w:t>а. Кызыл-Уруп</w:t>
      </w:r>
      <w:r>
        <w:t>.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Строительство дома культуры на 250 мест в </w:t>
      </w:r>
      <w:r>
        <w:rPr>
          <w:b/>
        </w:rPr>
        <w:t>а. Бесленей</w:t>
      </w:r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"Реконструкция дома культуры по ул. </w:t>
      </w:r>
      <w:proofErr w:type="spellStart"/>
      <w:r>
        <w:t>У.Алиева</w:t>
      </w:r>
      <w:proofErr w:type="spellEnd"/>
      <w:r>
        <w:t xml:space="preserve"> 13А </w:t>
      </w:r>
      <w:proofErr w:type="gramStart"/>
      <w:r>
        <w:t>в</w:t>
      </w:r>
      <w:proofErr w:type="gramEnd"/>
      <w:r>
        <w:t xml:space="preserve"> </w:t>
      </w:r>
      <w:r>
        <w:rPr>
          <w:b/>
        </w:rPr>
        <w:t>с. Учкекен</w:t>
      </w:r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"Реконструкция дома культуры в </w:t>
      </w:r>
      <w:r>
        <w:rPr>
          <w:b/>
        </w:rPr>
        <w:t xml:space="preserve">ст. </w:t>
      </w:r>
      <w:proofErr w:type="spellStart"/>
      <w:r>
        <w:rPr>
          <w:b/>
        </w:rPr>
        <w:t>Кардоникская</w:t>
      </w:r>
      <w:proofErr w:type="spellEnd"/>
      <w:r>
        <w:t>;</w:t>
      </w:r>
    </w:p>
    <w:p w:rsidR="00193EC7" w:rsidRDefault="00193EC7" w:rsidP="00193EC7">
      <w:pPr>
        <w:numPr>
          <w:ilvl w:val="0"/>
          <w:numId w:val="1"/>
        </w:numPr>
        <w:spacing w:after="200"/>
      </w:pPr>
      <w:r>
        <w:t xml:space="preserve">"Реконструкция дома культуры в </w:t>
      </w:r>
      <w:r>
        <w:rPr>
          <w:b/>
        </w:rPr>
        <w:t xml:space="preserve">с. </w:t>
      </w:r>
      <w:proofErr w:type="gramStart"/>
      <w:r>
        <w:rPr>
          <w:b/>
        </w:rPr>
        <w:t>Садовое</w:t>
      </w:r>
      <w:proofErr w:type="gramEnd"/>
      <w:r>
        <w:t>.</w:t>
      </w:r>
    </w:p>
    <w:p w:rsidR="00193EC7" w:rsidRDefault="00193EC7" w:rsidP="00193EC7">
      <w:pPr>
        <w:spacing w:after="200"/>
        <w:ind w:firstLine="709"/>
        <w:jc w:val="both"/>
      </w:pPr>
      <w:r>
        <w:t xml:space="preserve">План график по всем объектам размещен на сайте единой информационной системы в сфере закупок. </w:t>
      </w:r>
    </w:p>
    <w:p w:rsidR="00193EC7" w:rsidRDefault="00193EC7" w:rsidP="00193EC7">
      <w:pPr>
        <w:ind w:firstLine="709"/>
        <w:jc w:val="both"/>
      </w:pPr>
      <w:r>
        <w:t xml:space="preserve">На обеспечение в 2020 году детских музыкальных, художественных, хореографических школ, школ искусства, училищ необходимыми инструментами, оборудованием и материалами предусмотрены 12 845,4 тыс. рублей. </w:t>
      </w:r>
    </w:p>
    <w:p w:rsidR="00193EC7" w:rsidRDefault="00193EC7" w:rsidP="00193EC7">
      <w:pPr>
        <w:ind w:firstLine="709"/>
        <w:jc w:val="both"/>
      </w:pPr>
      <w:r>
        <w:t xml:space="preserve">Мероприятия по обеспечению необходимым оборудованием будут реализованы в 2 муниципальных школах и колледже культуры и искусства им. А. </w:t>
      </w:r>
      <w:proofErr w:type="spellStart"/>
      <w:r>
        <w:t>Даурова</w:t>
      </w:r>
      <w:proofErr w:type="spellEnd"/>
      <w:r>
        <w:t xml:space="preserve"> - единственного на территории КЧР учебного заведения </w:t>
      </w:r>
      <w:r>
        <w:lastRenderedPageBreak/>
        <w:t>среднего образования в сфере культуры. Проекты Соглашений направлены в муниципальные образования</w:t>
      </w:r>
    </w:p>
    <w:p w:rsidR="00193EC7" w:rsidRDefault="00193EC7" w:rsidP="00193EC7">
      <w:pPr>
        <w:ind w:firstLine="708"/>
        <w:jc w:val="both"/>
      </w:pPr>
      <w:r>
        <w:t>Во исполнение телеграммы от 28.01.2020 № 924-01-1-71-НО в Министерство культуры РФ была направлена заявочная документация, соответствующая методическим рекомендациям для реализации мероприятий по капитальному ремонту и реконструкции детских школ искусств республики.</w:t>
      </w:r>
    </w:p>
    <w:p w:rsidR="00193EC7" w:rsidRDefault="00193EC7" w:rsidP="00193EC7">
      <w:pPr>
        <w:ind w:firstLine="708"/>
        <w:jc w:val="both"/>
      </w:pPr>
      <w:r>
        <w:t>Департаментом науки и образования Минкультуры России было направленно письмо от 17.02.2020 №456-06-02 о количестве модернизируемых в 2020-2022 гг. детских школ искусств, а также объемы средств, заявленные для включения в проект федерального закона «О внесении изменений в Федеральный закон «О федеральном бюджете на 2020 год и плановый период 2021-2022 годов»</w:t>
      </w:r>
    </w:p>
    <w:p w:rsidR="00193EC7" w:rsidRDefault="00193EC7" w:rsidP="00193EC7">
      <w:pPr>
        <w:ind w:firstLine="708"/>
        <w:jc w:val="both"/>
      </w:pPr>
      <w:r>
        <w:t>Объем заявленных средств (федеральный бюджет) составляет:</w:t>
      </w:r>
    </w:p>
    <w:p w:rsidR="00193EC7" w:rsidRDefault="00193EC7" w:rsidP="00193EC7">
      <w:pPr>
        <w:ind w:firstLine="708"/>
        <w:jc w:val="both"/>
      </w:pPr>
      <w:r>
        <w:t>На 2020 год-143 322,3 тыс. рублей;</w:t>
      </w:r>
    </w:p>
    <w:p w:rsidR="00193EC7" w:rsidRDefault="00193EC7" w:rsidP="00193EC7">
      <w:pPr>
        <w:ind w:firstLine="708"/>
        <w:jc w:val="both"/>
      </w:pPr>
      <w:r>
        <w:t>На 2021 год-51 223,8 тыс. рублей.</w:t>
      </w:r>
    </w:p>
    <w:p w:rsidR="00193EC7" w:rsidRDefault="00193EC7" w:rsidP="00193EC7">
      <w:pPr>
        <w:ind w:firstLine="708"/>
        <w:jc w:val="both"/>
      </w:pPr>
      <w:r>
        <w:t xml:space="preserve">В настоящее время, проектно-сметные документации </w:t>
      </w:r>
      <w:proofErr w:type="gramStart"/>
      <w:r>
        <w:t>заявленных</w:t>
      </w:r>
      <w:proofErr w:type="gramEnd"/>
      <w:r>
        <w:t xml:space="preserve"> ДШИ проходят государственную экспертизу. </w:t>
      </w:r>
      <w:proofErr w:type="spellStart"/>
      <w:r>
        <w:t>Софинансирование</w:t>
      </w:r>
      <w:proofErr w:type="spellEnd"/>
      <w:r>
        <w:t xml:space="preserve"> с бюджета Карачаево-Черкесской Республики подтверждается.</w:t>
      </w:r>
    </w:p>
    <w:p w:rsidR="000F1CBC" w:rsidRDefault="000F1CBC">
      <w:bookmarkStart w:id="0" w:name="_GoBack"/>
      <w:bookmarkEnd w:id="0"/>
    </w:p>
    <w:sectPr w:rsidR="000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95F"/>
    <w:multiLevelType w:val="hybridMultilevel"/>
    <w:tmpl w:val="EA0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1B"/>
    <w:rsid w:val="000F1CBC"/>
    <w:rsid w:val="00193EC7"/>
    <w:rsid w:val="009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2020-12-11T12:54:00Z</dcterms:created>
  <dcterms:modified xsi:type="dcterms:W3CDTF">2020-12-11T12:56:00Z</dcterms:modified>
</cp:coreProperties>
</file>