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F" w:rsidRDefault="0037428F" w:rsidP="004B614E">
      <w:pPr>
        <w:spacing w:line="240" w:lineRule="atLeast"/>
        <w:jc w:val="center"/>
        <w:rPr>
          <w:b/>
        </w:rPr>
      </w:pPr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П А С П О Р Т</w:t>
      </w:r>
    </w:p>
    <w:p w:rsidR="00943121" w:rsidRPr="005F1CB1" w:rsidRDefault="00943121" w:rsidP="004B614E">
      <w:pPr>
        <w:spacing w:line="120" w:lineRule="exact"/>
        <w:jc w:val="center"/>
        <w:rPr>
          <w:b/>
        </w:rPr>
      </w:pPr>
    </w:p>
    <w:p w:rsidR="00943121" w:rsidRPr="005F1CB1" w:rsidRDefault="0094312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федерального проекта</w:t>
      </w:r>
    </w:p>
    <w:p w:rsidR="00943121" w:rsidRPr="005F1CB1" w:rsidRDefault="000B5A71" w:rsidP="004B614E">
      <w:pPr>
        <w:spacing w:line="240" w:lineRule="atLeast"/>
        <w:jc w:val="center"/>
        <w:rPr>
          <w:b/>
        </w:rPr>
      </w:pPr>
      <w:r w:rsidRPr="005F1CB1">
        <w:rPr>
          <w:b/>
        </w:rPr>
        <w:t>«</w:t>
      </w:r>
      <w:r w:rsidR="001025AF" w:rsidRPr="005F1CB1">
        <w:rPr>
          <w:b/>
          <w:szCs w:val="28"/>
        </w:rPr>
        <w:t>Обеспечение качественно нового уровня развития инфраструктуры культуры</w:t>
      </w:r>
      <w:r w:rsidRPr="005F1CB1">
        <w:rPr>
          <w:b/>
        </w:rPr>
        <w:t>»</w:t>
      </w:r>
    </w:p>
    <w:p w:rsidR="00470976" w:rsidRPr="005F1CB1" w:rsidRDefault="00470976" w:rsidP="004B614E">
      <w:pPr>
        <w:spacing w:line="240" w:lineRule="atLeast"/>
        <w:jc w:val="center"/>
        <w:rPr>
          <w:b/>
          <w:i/>
        </w:rPr>
      </w:pPr>
      <w:r w:rsidRPr="005F1CB1">
        <w:rPr>
          <w:b/>
        </w:rPr>
        <w:t>«Культурная среда»</w:t>
      </w:r>
    </w:p>
    <w:p w:rsidR="00943121" w:rsidRPr="005F1CB1" w:rsidRDefault="00943121" w:rsidP="004B614E">
      <w:pPr>
        <w:spacing w:before="720" w:after="240" w:line="240" w:lineRule="auto"/>
        <w:jc w:val="center"/>
      </w:pPr>
      <w:r w:rsidRPr="005F1CB1"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130"/>
        <w:gridCol w:w="3647"/>
        <w:gridCol w:w="2599"/>
        <w:gridCol w:w="3186"/>
      </w:tblGrid>
      <w:tr w:rsidR="00943121" w:rsidRPr="005F1CB1" w:rsidTr="005C21EC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Наименование национального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5C21EC" w:rsidP="004B614E">
            <w:pPr>
              <w:spacing w:before="120" w:after="120" w:line="240" w:lineRule="atLeast"/>
            </w:pPr>
            <w:r w:rsidRPr="005F1CB1">
              <w:t>Культура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Краткое наименование федерального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r w:rsidRPr="005F1CB1">
              <w:t>«Культурная среда»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center"/>
            </w:pPr>
            <w:r w:rsidRPr="005F1CB1"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5F1CB1" w:rsidRDefault="00EA2CAE" w:rsidP="00DC44B0">
            <w:pPr>
              <w:spacing w:before="120" w:after="120" w:line="240" w:lineRule="atLeast"/>
              <w:jc w:val="left"/>
            </w:pPr>
            <w:r w:rsidRPr="005F1CB1">
              <w:t>01.</w:t>
            </w:r>
            <w:r w:rsidR="00DC44B0" w:rsidRPr="005F1CB1">
              <w:t>01</w:t>
            </w:r>
            <w:r w:rsidRPr="005F1CB1">
              <w:t>.</w:t>
            </w:r>
            <w:r w:rsidR="00A32C27" w:rsidRPr="005F1CB1">
              <w:t>201</w:t>
            </w:r>
            <w:r w:rsidR="00DC44B0" w:rsidRPr="005F1CB1">
              <w:t>9</w:t>
            </w:r>
            <w:r w:rsidR="003148EE" w:rsidRPr="005F1CB1">
              <w:sym w:font="Symbol" w:char="F02D"/>
            </w:r>
            <w:r w:rsidRPr="005F1CB1">
              <w:t>31.12.2024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Куратор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</w:pPr>
            <w:proofErr w:type="spellStart"/>
            <w:r w:rsidRPr="005F1CB1">
              <w:rPr>
                <w:rFonts w:eastAsia="Arial Unicode MS"/>
                <w:color w:val="000000"/>
                <w:szCs w:val="28"/>
                <w:u w:color="000000"/>
              </w:rPr>
              <w:t>О.Ю.Голодец</w:t>
            </w:r>
            <w:proofErr w:type="spellEnd"/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Старшее должностное лицо (СДЛ)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937452" w:rsidP="004B614E">
            <w:pPr>
              <w:spacing w:before="120" w:after="120" w:line="240" w:lineRule="atLeast"/>
            </w:pPr>
            <w:proofErr w:type="spellStart"/>
            <w:r w:rsidRPr="005F1CB1">
              <w:rPr>
                <w:szCs w:val="28"/>
              </w:rPr>
              <w:t>В.Р.Мединский</w:t>
            </w:r>
            <w:proofErr w:type="spellEnd"/>
          </w:p>
        </w:tc>
      </w:tr>
      <w:tr w:rsidR="00943121" w:rsidRPr="005F1CB1" w:rsidTr="00FC4456">
        <w:trPr>
          <w:trHeight w:val="782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</w:pPr>
            <w:r w:rsidRPr="005F1CB1">
              <w:t>Руководитель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C52F1C" w:rsidRPr="005F1CB1" w:rsidRDefault="00937452" w:rsidP="004B614E">
            <w:pPr>
              <w:spacing w:before="120" w:after="120" w:line="240" w:lineRule="atLeast"/>
              <w:rPr>
                <w:szCs w:val="28"/>
              </w:rPr>
            </w:pPr>
            <w:r w:rsidRPr="005F1CB1">
              <w:rPr>
                <w:szCs w:val="28"/>
              </w:rPr>
              <w:t>С.Г.Обрывалин</w:t>
            </w:r>
          </w:p>
        </w:tc>
      </w:tr>
      <w:tr w:rsidR="00943121" w:rsidRPr="005F1CB1" w:rsidTr="00FC4456"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>Администратор федерального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EA2CAE" w:rsidRPr="005F1CB1" w:rsidRDefault="00BC3F73" w:rsidP="004B614E">
            <w:pPr>
              <w:spacing w:before="120" w:after="120" w:line="240" w:lineRule="atLeast"/>
              <w:jc w:val="left"/>
              <w:rPr>
                <w:rFonts w:eastAsia="Arial Unicode MS"/>
                <w:szCs w:val="28"/>
                <w:lang w:eastAsia="en-US"/>
              </w:rPr>
            </w:pPr>
            <w:r w:rsidRPr="005F1CB1">
              <w:rPr>
                <w:szCs w:val="28"/>
              </w:rPr>
              <w:t xml:space="preserve">Директор Департамента инвестиций и имущества </w:t>
            </w:r>
            <w:proofErr w:type="spellStart"/>
            <w:r w:rsidR="00D062D5" w:rsidRPr="005F1CB1">
              <w:rPr>
                <w:szCs w:val="28"/>
              </w:rPr>
              <w:t>М.В.Кононов</w:t>
            </w:r>
            <w:proofErr w:type="spellEnd"/>
          </w:p>
        </w:tc>
      </w:tr>
      <w:tr w:rsidR="00943121" w:rsidRPr="005F1CB1" w:rsidTr="00FC4456">
        <w:trPr>
          <w:trHeight w:val="748"/>
        </w:trPr>
        <w:tc>
          <w:tcPr>
            <w:tcW w:w="5211" w:type="dxa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120" w:after="120" w:line="240" w:lineRule="atLeast"/>
              <w:jc w:val="left"/>
              <w:rPr>
                <w:i/>
                <w:sz w:val="26"/>
                <w:szCs w:val="26"/>
              </w:rPr>
            </w:pPr>
            <w:r w:rsidRPr="005F1CB1"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5F1CB1" w:rsidRDefault="00EA2CAE" w:rsidP="004B614E">
            <w:pPr>
              <w:spacing w:before="120" w:after="120" w:line="240" w:lineRule="atLeast"/>
              <w:jc w:val="left"/>
              <w:rPr>
                <w:szCs w:val="28"/>
              </w:rPr>
            </w:pPr>
            <w:r w:rsidRPr="005F1CB1">
              <w:rPr>
                <w:szCs w:val="28"/>
              </w:rPr>
              <w:t xml:space="preserve">Государственная программа </w:t>
            </w:r>
            <w:r w:rsidR="00177284" w:rsidRPr="005F1CB1">
              <w:rPr>
                <w:szCs w:val="28"/>
              </w:rPr>
              <w:t xml:space="preserve">Российской Федерации </w:t>
            </w:r>
            <w:r w:rsidRPr="005F1CB1">
              <w:rPr>
                <w:szCs w:val="28"/>
              </w:rPr>
              <w:t>«Разв</w:t>
            </w:r>
            <w:r w:rsidR="003148EE" w:rsidRPr="005F1CB1">
              <w:rPr>
                <w:szCs w:val="28"/>
              </w:rPr>
              <w:t xml:space="preserve">итие культуры </w:t>
            </w:r>
            <w:r w:rsidR="009437A4">
              <w:rPr>
                <w:szCs w:val="28"/>
              </w:rPr>
              <w:br/>
            </w:r>
            <w:r w:rsidR="003148EE" w:rsidRPr="005F1CB1">
              <w:rPr>
                <w:szCs w:val="28"/>
              </w:rPr>
              <w:t>и туризма на 2013</w:t>
            </w:r>
            <w:r w:rsidR="003148EE" w:rsidRPr="005F1CB1">
              <w:rPr>
                <w:szCs w:val="28"/>
              </w:rPr>
              <w:sym w:font="Symbol" w:char="F02D"/>
            </w:r>
            <w:r w:rsidRPr="005F1CB1">
              <w:rPr>
                <w:szCs w:val="28"/>
              </w:rPr>
              <w:t>2020 годы»</w:t>
            </w:r>
          </w:p>
        </w:tc>
      </w:tr>
    </w:tbl>
    <w:p w:rsidR="00943121" w:rsidRPr="005F1CB1" w:rsidRDefault="00943121" w:rsidP="004B614E">
      <w:pPr>
        <w:spacing w:line="240" w:lineRule="atLeast"/>
        <w:jc w:val="center"/>
      </w:pPr>
    </w:p>
    <w:p w:rsidR="00943121" w:rsidRPr="005F1CB1" w:rsidRDefault="00943121" w:rsidP="004B614E">
      <w:pPr>
        <w:spacing w:line="240" w:lineRule="atLeast"/>
        <w:jc w:val="center"/>
      </w:pPr>
      <w:r w:rsidRPr="005F1CB1">
        <w:br w:type="page"/>
      </w:r>
      <w:r w:rsidRPr="005F1CB1">
        <w:lastRenderedPageBreak/>
        <w:t>2. Цель и показатели федерального проекта</w:t>
      </w:r>
    </w:p>
    <w:p w:rsidR="00EA2CAE" w:rsidRPr="005F1CB1" w:rsidRDefault="00EA2CAE" w:rsidP="004B614E">
      <w:pPr>
        <w:spacing w:line="240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3281"/>
        <w:gridCol w:w="1682"/>
        <w:gridCol w:w="1160"/>
        <w:gridCol w:w="1947"/>
        <w:gridCol w:w="1062"/>
        <w:gridCol w:w="1086"/>
        <w:gridCol w:w="955"/>
        <w:gridCol w:w="880"/>
        <w:gridCol w:w="961"/>
        <w:gridCol w:w="984"/>
      </w:tblGrid>
      <w:tr w:rsidR="00EA2CAE" w:rsidRPr="005F1CB1" w:rsidTr="00D47334">
        <w:trPr>
          <w:trHeight w:val="63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5F1CB1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5F1CB1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5F1CB1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5F1CB1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EA2CAE" w:rsidRPr="005F1CB1" w:rsidTr="00D47334">
        <w:tc>
          <w:tcPr>
            <w:tcW w:w="194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1127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Тип показателя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Базовое значение</w:t>
            </w:r>
          </w:p>
        </w:tc>
        <w:tc>
          <w:tcPr>
            <w:tcW w:w="2036" w:type="pct"/>
            <w:gridSpan w:val="6"/>
            <w:shd w:val="clear" w:color="auto" w:fill="auto"/>
            <w:vAlign w:val="center"/>
          </w:tcPr>
          <w:p w:rsidR="00EA2CAE" w:rsidRPr="005F1CB1" w:rsidRDefault="00EA2CAE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Период, год</w:t>
            </w:r>
          </w:p>
        </w:tc>
      </w:tr>
      <w:tr w:rsidR="000B5A71" w:rsidRPr="005F1CB1" w:rsidTr="00AE0DEC">
        <w:trPr>
          <w:trHeight w:val="382"/>
        </w:trPr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2019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2021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2022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2023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2024</w:t>
            </w:r>
          </w:p>
        </w:tc>
      </w:tr>
      <w:tr w:rsidR="000B5A71" w:rsidRPr="005F1CB1" w:rsidTr="00AE0DEC">
        <w:tc>
          <w:tcPr>
            <w:tcW w:w="194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7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Значение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Дата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926BC8" w:rsidRPr="005F1CB1" w:rsidTr="00926BC8">
        <w:tc>
          <w:tcPr>
            <w:tcW w:w="194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</w:t>
            </w:r>
          </w:p>
        </w:tc>
        <w:tc>
          <w:tcPr>
            <w:tcW w:w="1127" w:type="pct"/>
            <w:vAlign w:val="center"/>
          </w:tcPr>
          <w:p w:rsidR="00926BC8" w:rsidRPr="005F1CB1" w:rsidRDefault="00926BC8" w:rsidP="00926BC8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0" w:name="OLE_LINK9"/>
            <w:bookmarkStart w:id="1" w:name="OLE_LINK10"/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0"/>
            <w:bookmarkEnd w:id="1"/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</w:t>
            </w:r>
            <w:proofErr w:type="gramStart"/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>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</w:t>
            </w:r>
            <w:proofErr w:type="gramEnd"/>
          </w:p>
        </w:tc>
        <w:tc>
          <w:tcPr>
            <w:tcW w:w="578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64665</w:t>
            </w:r>
          </w:p>
        </w:tc>
        <w:tc>
          <w:tcPr>
            <w:tcW w:w="669" w:type="pct"/>
            <w:vAlign w:val="center"/>
          </w:tcPr>
          <w:p w:rsidR="00926BC8" w:rsidRPr="005F1CB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01.01.2018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6477</w:t>
            </w:r>
            <w:r w:rsidR="00FC2038" w:rsidRPr="005F1CB1">
              <w:t>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</w:t>
            </w:r>
            <w:r w:rsidR="00FC2038" w:rsidRPr="005F1CB1">
              <w:t>499</w:t>
            </w:r>
            <w:r w:rsidRPr="005F1CB1">
              <w:t>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652</w:t>
            </w:r>
            <w:r w:rsidR="00FC2038" w:rsidRPr="005F1CB1">
              <w:t>19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654</w:t>
            </w:r>
            <w:r w:rsidR="00FC2038" w:rsidRPr="005F1CB1">
              <w:t>45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674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26BC8" w:rsidRPr="005F1CB1" w:rsidRDefault="00926BC8" w:rsidP="00357B5C">
            <w:pPr>
              <w:jc w:val="center"/>
            </w:pPr>
            <w:r w:rsidRPr="005F1CB1">
              <w:t>65</w:t>
            </w:r>
            <w:r w:rsidR="00FC2038" w:rsidRPr="005F1CB1">
              <w:t>89</w:t>
            </w:r>
            <w:r w:rsidR="00357B5C" w:rsidRPr="005F1CB1">
              <w:t>8</w:t>
            </w:r>
          </w:p>
        </w:tc>
      </w:tr>
      <w:tr w:rsidR="000B5A71" w:rsidRPr="005F1CB1" w:rsidTr="00AE0DEC">
        <w:tc>
          <w:tcPr>
            <w:tcW w:w="194" w:type="pct"/>
            <w:vAlign w:val="center"/>
          </w:tcPr>
          <w:p w:rsidR="000B5A71" w:rsidRPr="005F1CB1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 xml:space="preserve">2. </w:t>
            </w:r>
          </w:p>
        </w:tc>
        <w:tc>
          <w:tcPr>
            <w:tcW w:w="1127" w:type="pct"/>
            <w:vAlign w:val="center"/>
          </w:tcPr>
          <w:p w:rsidR="000B5A71" w:rsidRPr="005F1CB1" w:rsidRDefault="000B5A71" w:rsidP="004B614E">
            <w:pPr>
              <w:spacing w:before="120" w:after="120" w:line="240" w:lineRule="auto"/>
              <w:jc w:val="left"/>
              <w:rPr>
                <w:i/>
                <w:szCs w:val="28"/>
              </w:rPr>
            </w:pPr>
            <w:bookmarkStart w:id="2" w:name="OLE_LINK11"/>
            <w:bookmarkStart w:id="3" w:name="OLE_LINK12"/>
            <w:bookmarkStart w:id="4" w:name="OLE_LINK13"/>
            <w:r w:rsidRPr="005F1CB1">
              <w:rPr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5F1CB1">
              <w:rPr>
                <w:szCs w:val="28"/>
              </w:rPr>
              <w:t xml:space="preserve"> </w:t>
            </w:r>
            <w:bookmarkEnd w:id="2"/>
            <w:bookmarkEnd w:id="3"/>
            <w:bookmarkEnd w:id="4"/>
            <w:r w:rsidRPr="005F1CB1">
              <w:rPr>
                <w:i/>
                <w:szCs w:val="28"/>
              </w:rPr>
              <w:t>(ед.)</w:t>
            </w:r>
            <w:r w:rsidR="00C3438D" w:rsidRPr="005F1CB1">
              <w:rPr>
                <w:i/>
                <w:szCs w:val="28"/>
              </w:rPr>
              <w:t xml:space="preserve"> </w:t>
            </w:r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(нарастающим </w:t>
            </w:r>
            <w:proofErr w:type="gramStart"/>
            <w:r w:rsidR="00C3438D" w:rsidRPr="005F1CB1">
              <w:rPr>
                <w:rFonts w:eastAsia="Arial Unicode MS"/>
                <w:bCs/>
                <w:i/>
                <w:szCs w:val="28"/>
                <w:u w:color="000000"/>
              </w:rPr>
              <w:t>итогом)</w:t>
            </w:r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</w:t>
            </w:r>
            <w:proofErr w:type="gramEnd"/>
            <w:r w:rsidR="00BD776C" w:rsidRPr="005F1CB1">
              <w:rPr>
                <w:rFonts w:eastAsia="Arial Unicode MS"/>
                <w:bCs/>
                <w:i/>
                <w:szCs w:val="28"/>
                <w:u w:color="000000"/>
              </w:rPr>
              <w:t>*</w:t>
            </w:r>
          </w:p>
        </w:tc>
        <w:tc>
          <w:tcPr>
            <w:tcW w:w="578" w:type="pct"/>
            <w:vAlign w:val="center"/>
          </w:tcPr>
          <w:p w:rsidR="000B5A71" w:rsidRPr="005F1CB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Основной</w:t>
            </w:r>
          </w:p>
        </w:tc>
        <w:tc>
          <w:tcPr>
            <w:tcW w:w="396" w:type="pct"/>
            <w:vAlign w:val="center"/>
          </w:tcPr>
          <w:p w:rsidR="009D187B" w:rsidRPr="005F1CB1" w:rsidRDefault="00A50ED5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2588</w:t>
            </w:r>
          </w:p>
        </w:tc>
        <w:tc>
          <w:tcPr>
            <w:tcW w:w="669" w:type="pct"/>
            <w:vAlign w:val="center"/>
          </w:tcPr>
          <w:p w:rsidR="000B5A71" w:rsidRPr="005F1CB1" w:rsidRDefault="00D97E7C" w:rsidP="004B614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5F1CB1">
              <w:rPr>
                <w:rFonts w:eastAsia="Arial Unicode MS"/>
                <w:szCs w:val="28"/>
                <w:u w:color="000000"/>
              </w:rPr>
              <w:t>01.01.</w:t>
            </w:r>
            <w:r w:rsidR="000B5A71" w:rsidRPr="005F1CB1">
              <w:rPr>
                <w:rFonts w:eastAsia="Arial Unicode MS"/>
                <w:szCs w:val="28"/>
                <w:u w:color="000000"/>
              </w:rPr>
              <w:t>2018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B5A71" w:rsidRPr="005F1CB1" w:rsidRDefault="00A50ED5" w:rsidP="00ED0759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31</w:t>
            </w:r>
            <w:r w:rsidR="00ED0759" w:rsidRPr="005F1CB1">
              <w:rPr>
                <w:szCs w:val="28"/>
              </w:rPr>
              <w:t>8</w:t>
            </w:r>
            <w:r w:rsidRPr="005F1CB1">
              <w:rPr>
                <w:szCs w:val="28"/>
              </w:rPr>
              <w:t>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3788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4388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4988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B5A71" w:rsidRPr="005F1CB1" w:rsidRDefault="00ED0759" w:rsidP="004B614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5588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B5A71" w:rsidRPr="005F1CB1" w:rsidRDefault="00ED0759" w:rsidP="00315F9E">
            <w:pPr>
              <w:spacing w:line="240" w:lineRule="auto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6188</w:t>
            </w:r>
          </w:p>
        </w:tc>
      </w:tr>
    </w:tbl>
    <w:p w:rsidR="00D47334" w:rsidRPr="005F1CB1" w:rsidRDefault="00D47334" w:rsidP="004B614E">
      <w:pPr>
        <w:spacing w:before="600" w:after="240" w:line="240" w:lineRule="auto"/>
        <w:jc w:val="center"/>
      </w:pPr>
    </w:p>
    <w:p w:rsidR="00D47334" w:rsidRPr="005F1CB1" w:rsidRDefault="00D47334" w:rsidP="004B614E">
      <w:pPr>
        <w:spacing w:before="600" w:after="240" w:line="240" w:lineRule="auto"/>
        <w:jc w:val="center"/>
      </w:pPr>
    </w:p>
    <w:p w:rsidR="00943121" w:rsidRPr="005F1CB1" w:rsidRDefault="00943121" w:rsidP="004B614E">
      <w:pPr>
        <w:spacing w:before="600" w:after="240" w:line="240" w:lineRule="auto"/>
        <w:jc w:val="center"/>
      </w:pPr>
      <w:r w:rsidRPr="005F1CB1">
        <w:lastRenderedPageBreak/>
        <w:t>3. Задачи и результаты федерального проекта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508"/>
        <w:gridCol w:w="7972"/>
      </w:tblGrid>
      <w:tr w:rsidR="00943121" w:rsidRPr="005F1CB1" w:rsidTr="00060D00">
        <w:trPr>
          <w:trHeight w:val="475"/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43121" w:rsidRPr="005F1CB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Характеристика результата</w:t>
            </w:r>
          </w:p>
        </w:tc>
      </w:tr>
      <w:tr w:rsidR="0094312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43121" w:rsidRPr="005F1CB1" w:rsidRDefault="00943121" w:rsidP="004B614E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1.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387A63" w:rsidRPr="005F1CB1" w:rsidRDefault="00387A63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color w:val="000000"/>
                <w:szCs w:val="28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  <w:p w:rsidR="00836561" w:rsidRPr="005F1CB1" w:rsidRDefault="00836561" w:rsidP="00387A63">
            <w:pPr>
              <w:spacing w:after="120" w:line="240" w:lineRule="auto"/>
              <w:rPr>
                <w:b/>
                <w:color w:val="000000"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«б» пункта 12 Указа Президента РФ от 7 мая 2018 № 204)</w:t>
            </w:r>
          </w:p>
        </w:tc>
      </w:tr>
      <w:tr w:rsidR="00451F01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451F01" w:rsidRPr="005F1CB1" w:rsidRDefault="00451F01" w:rsidP="009B1A4E">
            <w:pPr>
              <w:spacing w:line="276" w:lineRule="auto"/>
              <w:rPr>
                <w:i/>
                <w:color w:val="000000"/>
                <w:szCs w:val="28"/>
              </w:rPr>
            </w:pPr>
            <w:r w:rsidRPr="005F1CB1">
              <w:rPr>
                <w:i/>
                <w:color w:val="000000"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</w:t>
            </w:r>
            <w:r w:rsidR="009B1A4E">
              <w:rPr>
                <w:i/>
                <w:color w:val="000000"/>
                <w:szCs w:val="28"/>
              </w:rPr>
              <w:t xml:space="preserve">от 50 000 </w:t>
            </w:r>
            <w:r w:rsidR="009B1A4E">
              <w:rPr>
                <w:i/>
                <w:color w:val="000000"/>
                <w:szCs w:val="28"/>
              </w:rPr>
              <w:br/>
            </w:r>
            <w:r w:rsidRPr="005F1CB1">
              <w:rPr>
                <w:i/>
                <w:color w:val="000000"/>
                <w:szCs w:val="28"/>
              </w:rPr>
              <w:t>до 300 000 человек</w:t>
            </w:r>
          </w:p>
        </w:tc>
      </w:tr>
      <w:tr w:rsidR="00451F01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451F01" w:rsidRPr="005F1CB1" w:rsidRDefault="00451F01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1.1</w:t>
            </w:r>
          </w:p>
        </w:tc>
        <w:tc>
          <w:tcPr>
            <w:tcW w:w="2130" w:type="pct"/>
            <w:shd w:val="clear" w:color="auto" w:fill="auto"/>
          </w:tcPr>
          <w:p w:rsidR="00451F01" w:rsidRPr="009B1A4E" w:rsidRDefault="00451F01" w:rsidP="009B1A4E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Утверждена проектно-сметная документация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 строительству центров культурного развития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  <w:t>в городах с числом жителей от 50 000 до 300 000 человек</w:t>
            </w:r>
          </w:p>
        </w:tc>
        <w:tc>
          <w:tcPr>
            <w:tcW w:w="2609" w:type="pct"/>
            <w:shd w:val="clear" w:color="auto" w:fill="auto"/>
          </w:tcPr>
          <w:p w:rsidR="00451F01" w:rsidRPr="009437A4" w:rsidRDefault="00451F01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До 1 декабря 2020 г. утверждена проектно-сметная документация по строительству центров культурного развития в городах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</w:tc>
      </w:tr>
      <w:tr w:rsidR="00A93427" w:rsidRPr="005F1CB1" w:rsidTr="00060D00">
        <w:trPr>
          <w:trHeight w:val="1134"/>
          <w:jc w:val="center"/>
        </w:trPr>
        <w:tc>
          <w:tcPr>
            <w:tcW w:w="261" w:type="pct"/>
            <w:shd w:val="clear" w:color="auto" w:fill="auto"/>
          </w:tcPr>
          <w:p w:rsidR="00A93427" w:rsidRPr="005F1CB1" w:rsidRDefault="00ED02FE" w:rsidP="00451F01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1.2</w:t>
            </w:r>
          </w:p>
        </w:tc>
        <w:tc>
          <w:tcPr>
            <w:tcW w:w="2130" w:type="pct"/>
            <w:shd w:val="clear" w:color="auto" w:fill="auto"/>
          </w:tcPr>
          <w:p w:rsidR="00A93427" w:rsidRPr="005F1CB1" w:rsidRDefault="009437A4" w:rsidP="009437A4">
            <w:pPr>
              <w:spacing w:after="8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Н</w:t>
            </w:r>
            <w:r w:rsidR="009333A1" w:rsidRPr="005F1CB1">
              <w:rPr>
                <w:szCs w:val="28"/>
              </w:rPr>
              <w:t xml:space="preserve">ачато строительство 8 центров культурного развития в субъектах Российской Федерации </w:t>
            </w:r>
            <w:r>
              <w:rPr>
                <w:szCs w:val="28"/>
              </w:rPr>
              <w:br/>
            </w:r>
            <w:r w:rsidR="009333A1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ED02FE" w:rsidRPr="005F1CB1" w:rsidRDefault="009333A1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Драйверами Федерального проекта 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«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Культурная среда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>»</w:t>
            </w: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станут 39 Центров культурного развития (ЦКР), которые будут построены по типовым проектам в городах с количеством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жителей от 50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до 300</w:t>
            </w:r>
            <w:r w:rsidR="009437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ED02FE"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>000 человек.</w:t>
            </w:r>
          </w:p>
          <w:p w:rsidR="00A93427" w:rsidRPr="005F1CB1" w:rsidRDefault="00ED02FE" w:rsidP="00451F01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Центры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5 млн. человек. </w:t>
            </w:r>
          </w:p>
        </w:tc>
      </w:tr>
      <w:tr w:rsidR="00547EB9" w:rsidRPr="005F1CB1" w:rsidTr="00060D00">
        <w:trPr>
          <w:trHeight w:val="1517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1.3</w:t>
            </w:r>
          </w:p>
        </w:tc>
        <w:tc>
          <w:tcPr>
            <w:tcW w:w="2130" w:type="pct"/>
            <w:shd w:val="clear" w:color="auto" w:fill="auto"/>
          </w:tcPr>
          <w:p w:rsidR="00547EB9" w:rsidRPr="009437A4" w:rsidRDefault="00AC20BA" w:rsidP="009437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8 центров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1.4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 w:val="8"/>
                <w:szCs w:val="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23 центра культурного развития </w:t>
            </w:r>
            <w:r w:rsidR="009437A4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547EB9" w:rsidRPr="005F1CB1" w:rsidTr="00060D00">
        <w:trPr>
          <w:trHeight w:val="1381"/>
          <w:jc w:val="center"/>
        </w:trPr>
        <w:tc>
          <w:tcPr>
            <w:tcW w:w="261" w:type="pct"/>
            <w:shd w:val="clear" w:color="auto" w:fill="auto"/>
          </w:tcPr>
          <w:p w:rsidR="00547EB9" w:rsidRPr="005F1CB1" w:rsidRDefault="00547EB9" w:rsidP="00547EB9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1.5</w:t>
            </w:r>
          </w:p>
        </w:tc>
        <w:tc>
          <w:tcPr>
            <w:tcW w:w="2130" w:type="pct"/>
            <w:shd w:val="clear" w:color="auto" w:fill="auto"/>
          </w:tcPr>
          <w:p w:rsidR="00547EB9" w:rsidRPr="005F1CB1" w:rsidRDefault="00AC20BA" w:rsidP="009437A4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47EB9" w:rsidRPr="005F1CB1">
              <w:rPr>
                <w:szCs w:val="28"/>
              </w:rPr>
              <w:t xml:space="preserve">остроено 39 центров культурного развития </w:t>
            </w:r>
            <w:r w:rsidR="009B1A4E">
              <w:rPr>
                <w:szCs w:val="28"/>
              </w:rPr>
              <w:br/>
            </w:r>
            <w:r w:rsidR="00547EB9" w:rsidRPr="005F1CB1">
              <w:rPr>
                <w:szCs w:val="28"/>
              </w:rPr>
              <w:t>в субъектах Российской Федерации</w:t>
            </w:r>
            <w:r w:rsidR="009437A4">
              <w:rPr>
                <w:szCs w:val="28"/>
              </w:rPr>
              <w:t xml:space="preserve"> </w:t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в городах </w:t>
            </w:r>
            <w:r w:rsidR="009437A4">
              <w:rPr>
                <w:rFonts w:eastAsia="Arial Unicode MS"/>
                <w:bCs/>
                <w:szCs w:val="28"/>
                <w:u w:color="000000"/>
              </w:rPr>
              <w:br/>
            </w:r>
            <w:r w:rsidR="009437A4" w:rsidRPr="005F1CB1">
              <w:rPr>
                <w:rFonts w:eastAsia="Arial Unicode MS"/>
                <w:bCs/>
                <w:szCs w:val="28"/>
                <w:u w:color="000000"/>
              </w:rPr>
              <w:t xml:space="preserve">с числом жителей </w:t>
            </w:r>
            <w:r w:rsidR="009B1A4E">
              <w:rPr>
                <w:rFonts w:eastAsia="Arial Unicode MS"/>
                <w:bCs/>
                <w:color w:val="000000"/>
                <w:szCs w:val="28"/>
                <w:u w:color="000000"/>
              </w:rPr>
              <w:t>от 50 000 до 300 000 человек</w:t>
            </w:r>
            <w:r w:rsidR="009B1A4E" w:rsidRPr="005F1CB1">
              <w:rPr>
                <w:szCs w:val="28"/>
              </w:rPr>
              <w:t xml:space="preserve"> </w:t>
            </w:r>
            <w:r w:rsidR="00547EB9" w:rsidRPr="005F1CB1">
              <w:rPr>
                <w:szCs w:val="28"/>
              </w:rPr>
              <w:t>(нарастающим итогом)</w:t>
            </w: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  <w:p w:rsidR="00547EB9" w:rsidRPr="005F1CB1" w:rsidRDefault="00547EB9" w:rsidP="009437A4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47EB9" w:rsidRPr="005F1CB1" w:rsidRDefault="00547EB9" w:rsidP="00547EB9">
            <w:pPr>
              <w:spacing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F57BF8" w:rsidRPr="005F1CB1" w:rsidTr="00060D00">
        <w:trPr>
          <w:cantSplit/>
          <w:trHeight w:val="465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left"/>
              <w:rPr>
                <w:rFonts w:eastAsia="Arial Unicode MS"/>
                <w:bCs/>
                <w:i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федеральных, региональных и муниципальных учреждений отрасли культуры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не менее 15 федеральных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федеральных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 грант 1 федеральному учреждению отрасли культуры на реализацию проектов, направленных на улучшение качества культурной среды, в рамках реновации 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7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1.10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10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Выделены гранты не менее 15 федеральных учреждений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7 проектов по реновации федеральных учреждений отрасли культуры, направленных на улучшение качества культурной среды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F57BF8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F57BF8" w:rsidRPr="00F57BF8" w:rsidRDefault="00F57BF8" w:rsidP="00F57BF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2130" w:type="pct"/>
            <w:shd w:val="clear" w:color="auto" w:fill="auto"/>
          </w:tcPr>
          <w:p w:rsidR="00F57BF8" w:rsidRDefault="00F57BF8" w:rsidP="007A6BDD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федеральных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F57BF8" w:rsidRPr="0024761C" w:rsidRDefault="00F57BF8" w:rsidP="00F57BF8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24761C" w:rsidRDefault="009A195F" w:rsidP="00547EB9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rFonts w:eastAsia="Arial Unicode MS"/>
                <w:bCs/>
                <w:i/>
                <w:szCs w:val="28"/>
              </w:rPr>
              <w:t>Выделение грантов на реновацию региональных и муниципальных учреждений отрасли культуры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Проведен конкурсный отбор и определены 15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Выделены на конкурсной основе гранты на реновацию не менее 15 региональных и муниципальных учреждений отрасли культуры для реализации проектов, направленных на улучшение качества культурной среды.</w:t>
            </w: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1.15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2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7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10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Выделено не менее 15 грантов региональным </w:t>
            </w:r>
            <w:r>
              <w:rPr>
                <w:szCs w:val="28"/>
              </w:rPr>
              <w:br/>
              <w:t>и муниципальным учреждениям отрасли культуры на реализацию проектов, направленных на улучшение качества культурной среды, в рамках реновации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9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9A195F" w:rsidRPr="005F1CB1" w:rsidTr="00060D00">
        <w:trPr>
          <w:cantSplit/>
          <w:trHeight w:val="1381"/>
          <w:jc w:val="center"/>
        </w:trPr>
        <w:tc>
          <w:tcPr>
            <w:tcW w:w="261" w:type="pct"/>
            <w:shd w:val="clear" w:color="auto" w:fill="auto"/>
          </w:tcPr>
          <w:p w:rsidR="009A195F" w:rsidRPr="00F57BF8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1.21</w:t>
            </w:r>
          </w:p>
        </w:tc>
        <w:tc>
          <w:tcPr>
            <w:tcW w:w="2130" w:type="pct"/>
            <w:shd w:val="clear" w:color="auto" w:fill="auto"/>
          </w:tcPr>
          <w:p w:rsidR="009A195F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Реализовано не менее 15 проектов по реновации региональных и муниципальных учреждений отрасли культуры, направленных на улучшение качества культурной среды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24761C" w:rsidRDefault="009A195F" w:rsidP="009A195F">
            <w:pPr>
              <w:spacing w:after="120" w:line="240" w:lineRule="atLeast"/>
              <w:rPr>
                <w:bCs/>
                <w:szCs w:val="28"/>
              </w:rPr>
            </w:pPr>
          </w:p>
        </w:tc>
      </w:tr>
      <w:tr w:rsidR="00E446BB" w:rsidRPr="005F1CB1" w:rsidTr="00060D00">
        <w:trPr>
          <w:cantSplit/>
          <w:jc w:val="center"/>
        </w:trPr>
        <w:tc>
          <w:tcPr>
            <w:tcW w:w="261" w:type="pct"/>
            <w:shd w:val="clear" w:color="auto" w:fill="auto"/>
          </w:tcPr>
          <w:p w:rsidR="00E446BB" w:rsidRPr="005F1CB1" w:rsidRDefault="00E446BB" w:rsidP="00E446BB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2.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/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E446BB" w:rsidRPr="005F1CB1" w:rsidRDefault="00E446BB" w:rsidP="00E446BB">
            <w:pPr>
              <w:spacing w:after="120" w:line="240" w:lineRule="atLeast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«в» пункта 12 Указа Президента РФ от 7 мая 2018 № 204)</w:t>
            </w:r>
          </w:p>
        </w:tc>
      </w:tr>
      <w:tr w:rsidR="00E446BB" w:rsidRPr="005F1CB1" w:rsidTr="00060D00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446BB" w:rsidRPr="005F1CB1" w:rsidRDefault="00E446BB" w:rsidP="00E446BB">
            <w:pPr>
              <w:spacing w:after="120" w:line="240" w:lineRule="atLeast"/>
              <w:rPr>
                <w:b/>
                <w:bCs/>
                <w:szCs w:val="28"/>
              </w:rPr>
            </w:pPr>
            <w:r w:rsidRPr="005F1CB1">
              <w:rPr>
                <w:bCs/>
                <w:i/>
                <w:szCs w:val="28"/>
              </w:rPr>
              <w:t>Оснащение образовательных учреждений в сфере культуры (детских школ искусств</w:t>
            </w:r>
            <w:r w:rsidR="009A195F">
              <w:rPr>
                <w:bCs/>
                <w:i/>
                <w:szCs w:val="28"/>
              </w:rPr>
              <w:t xml:space="preserve"> </w:t>
            </w:r>
            <w:r w:rsidRPr="005F1CB1">
              <w:rPr>
                <w:bCs/>
                <w:i/>
                <w:szCs w:val="28"/>
              </w:rPr>
              <w:t>и училищ) музыкальными инструментами, оборудованием и учебными материалами</w:t>
            </w: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300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повышения качества художественного образования в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800 образовательных учреждениях отрасли культуры путем оснащения музыкальными инструментами, оборудованием и учебными материалами.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 числе 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800 образовательных учреждений отрасли культуры: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700 детских музыкальных, художественных, хореографических школ и школ искусств (34% от общего количества детских школ искусств</w:t>
            </w:r>
            <w:r w:rsidRPr="005F1CB1">
              <w:rPr>
                <w:bCs/>
                <w:szCs w:val="28"/>
              </w:rPr>
              <w:t xml:space="preserve"> по видам искусств</w:t>
            </w:r>
            <w:r w:rsidRPr="005F1CB1">
              <w:rPr>
                <w:szCs w:val="28"/>
              </w:rPr>
              <w:t xml:space="preserve"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600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900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F1CB1">
              <w:rPr>
                <w:szCs w:val="28"/>
              </w:rPr>
              <w:t>снащено 1</w:t>
            </w:r>
            <w:r w:rsidR="00EA5C3A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образовательных учреждений </w:t>
            </w:r>
            <w:r w:rsidR="00386D2C">
              <w:rPr>
                <w:szCs w:val="28"/>
              </w:rPr>
              <w:br/>
            </w:r>
            <w:r w:rsidRPr="005F1CB1">
              <w:rPr>
                <w:szCs w:val="28"/>
              </w:rPr>
              <w:t xml:space="preserve">в сфере культуры (детских школ искусств по видам искусств и училищ) музыкальными инструментами, </w:t>
            </w:r>
            <w:r w:rsidRPr="005F1CB1">
              <w:rPr>
                <w:szCs w:val="28"/>
              </w:rPr>
              <w:lastRenderedPageBreak/>
              <w:t>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 xml:space="preserve">500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5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EA5C3A" w:rsidP="009A195F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 xml:space="preserve">снащено </w:t>
            </w:r>
            <w:r w:rsidR="009A195F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9A195F">
              <w:rPr>
                <w:szCs w:val="28"/>
              </w:rPr>
              <w:t>800</w:t>
            </w:r>
            <w:r w:rsidR="009A195F" w:rsidRPr="005F1CB1">
              <w:rPr>
                <w:szCs w:val="28"/>
              </w:rPr>
              <w:t xml:space="preserve"> образовательных учреждений </w:t>
            </w:r>
            <w:r>
              <w:rPr>
                <w:szCs w:val="28"/>
              </w:rPr>
              <w:br/>
            </w:r>
            <w:r w:rsidR="009A195F" w:rsidRPr="005F1CB1">
              <w:rPr>
                <w:szCs w:val="28"/>
              </w:rPr>
              <w:t>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1166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3.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  <w:p w:rsidR="009A195F" w:rsidRPr="005F1CB1" w:rsidRDefault="009A195F" w:rsidP="009A195F">
            <w:pPr>
              <w:spacing w:after="120" w:line="240" w:lineRule="auto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«д» пункта 12 Указа Президента РФ от 7 мая 2018 № 204)</w:t>
            </w:r>
          </w:p>
        </w:tc>
      </w:tr>
      <w:tr w:rsidR="009A195F" w:rsidRPr="005F1CB1" w:rsidTr="00060D00">
        <w:trPr>
          <w:trHeight w:val="384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У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тверждена проектно-сметная документация </w:t>
            </w:r>
            <w:r>
              <w:rPr>
                <w:rFonts w:eastAsia="Arial Unicode MS"/>
                <w:bCs/>
                <w:szCs w:val="28"/>
                <w:u w:color="000000"/>
              </w:rPr>
              <w:br/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>по строительству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561F45" w:rsidRPr="00EA5C3A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 xml:space="preserve"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от площади здания также предусматривается библиотека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lastRenderedPageBreak/>
              <w:t>с читальным залом и помещениями для проведения досуга жителей.</w:t>
            </w:r>
          </w:p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  <w:r w:rsidRPr="00EA5C3A">
              <w:rPr>
                <w:szCs w:val="28"/>
              </w:rPr>
              <w:t>К 2024 году для жителей сельских насел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>нных пунктов доступность к качественным услугам культуры будет обеспечена за сч</w:t>
            </w:r>
            <w:r>
              <w:rPr>
                <w:szCs w:val="28"/>
              </w:rPr>
              <w:t>е</w:t>
            </w:r>
            <w:r w:rsidRPr="00EA5C3A">
              <w:rPr>
                <w:szCs w:val="28"/>
              </w:rPr>
              <w:t xml:space="preserve">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 xml:space="preserve">не менее 4-х типовых проектов с мощностной загрузкой от 100 </w:t>
            </w:r>
            <w:r>
              <w:rPr>
                <w:szCs w:val="28"/>
              </w:rPr>
              <w:br/>
            </w:r>
            <w:r w:rsidRPr="00EA5C3A">
              <w:rPr>
                <w:szCs w:val="28"/>
              </w:rPr>
              <w:t>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>оздано (реконструировано) и капитально отремонтировано не менее 105 культурно-досуговых учреждений в сельской местности</w:t>
            </w:r>
          </w:p>
          <w:p w:rsidR="00561F45" w:rsidRPr="005F1CB1" w:rsidRDefault="00561F45" w:rsidP="00386D2C">
            <w:pPr>
              <w:spacing w:line="24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209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3.4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306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403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561F45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561F45" w:rsidRPr="005F1CB1" w:rsidRDefault="00561F45" w:rsidP="00561F4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2130" w:type="pct"/>
            <w:shd w:val="clear" w:color="auto" w:fill="auto"/>
          </w:tcPr>
          <w:p w:rsidR="00561F45" w:rsidRPr="005F1CB1" w:rsidRDefault="00561F45" w:rsidP="00386D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F1CB1">
              <w:rPr>
                <w:szCs w:val="28"/>
              </w:rPr>
              <w:t xml:space="preserve">оздано (реконструировано) и капитально отремонтировано не менее </w:t>
            </w:r>
            <w:r>
              <w:rPr>
                <w:szCs w:val="28"/>
              </w:rPr>
              <w:t>500</w:t>
            </w:r>
            <w:r w:rsidRPr="005F1CB1">
              <w:rPr>
                <w:szCs w:val="28"/>
              </w:rPr>
              <w:t xml:space="preserve"> культурно-досуговых учреждений в сельской местности (нарастающим итогом) </w:t>
            </w:r>
          </w:p>
        </w:tc>
        <w:tc>
          <w:tcPr>
            <w:tcW w:w="2609" w:type="pct"/>
            <w:vMerge/>
            <w:shd w:val="clear" w:color="auto" w:fill="auto"/>
          </w:tcPr>
          <w:p w:rsidR="00561F45" w:rsidRPr="005F1CB1" w:rsidRDefault="00561F45" w:rsidP="00561F45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5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0F1226" w:rsidRDefault="000F1226" w:rsidP="000F1226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3.7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870701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100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 xml:space="preserve">субъектов Российской Федерации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01.12.2024 будут приобретены 600 автоклубов</w:t>
            </w:r>
            <w:bookmarkStart w:id="5" w:name="_GoBack"/>
            <w:bookmarkEnd w:id="5"/>
            <w:r w:rsidRPr="005F1CB1">
              <w:rPr>
                <w:szCs w:val="28"/>
              </w:rPr>
              <w:t>.</w:t>
            </w:r>
          </w:p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 приобретения 600 передвижных многофункциональных культурных центров.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 трансформер, спутниковую антенну, звуковое, компьютерное и мультимедийное оборудование. За сч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 xml:space="preserve">т оснащения передвижных центров интернетом, будут организованы онлайн трансляции культурных проектов и общественно-значимые консультации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 xml:space="preserve">(с представителями социальной защиты, медицинских и других </w:t>
            </w:r>
            <w:r w:rsidRPr="005F1CB1">
              <w:rPr>
                <w:szCs w:val="28"/>
              </w:rPr>
              <w:lastRenderedPageBreak/>
              <w:t>учреждений). С уч</w:t>
            </w:r>
            <w:r>
              <w:rPr>
                <w:szCs w:val="28"/>
              </w:rPr>
              <w:t>е</w:t>
            </w:r>
            <w:r w:rsidRPr="005F1CB1">
              <w:rPr>
                <w:szCs w:val="28"/>
              </w:rPr>
              <w:t>том вклада субъектов Российской Федерации в данный проект доступ к услугам культуры получат 20,4 млн. человек.</w:t>
            </w: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3.8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200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3.9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300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3.10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400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lastRenderedPageBreak/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trHeight w:val="390"/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3.11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500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B94A87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B94A87" w:rsidRPr="005F1CB1" w:rsidRDefault="00B94A87" w:rsidP="00B94A87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3.12</w:t>
            </w:r>
          </w:p>
        </w:tc>
        <w:tc>
          <w:tcPr>
            <w:tcW w:w="2130" w:type="pct"/>
            <w:shd w:val="clear" w:color="auto" w:fill="auto"/>
          </w:tcPr>
          <w:p w:rsidR="00B94A87" w:rsidRPr="00B94A87" w:rsidRDefault="00B94A87" w:rsidP="00B94A87">
            <w:pPr>
              <w:spacing w:line="240" w:lineRule="auto"/>
              <w:rPr>
                <w:szCs w:val="28"/>
              </w:rPr>
            </w:pPr>
            <w:r w:rsidRPr="00B94A87">
              <w:rPr>
                <w:szCs w:val="28"/>
              </w:rPr>
              <w:t xml:space="preserve">Обеспечено 600 передвижных </w:t>
            </w:r>
            <w:proofErr w:type="spellStart"/>
            <w:proofErr w:type="gramStart"/>
            <w:r w:rsidRPr="00B94A87">
              <w:rPr>
                <w:szCs w:val="28"/>
              </w:rPr>
              <w:t>многофункциональ</w:t>
            </w:r>
            <w:r>
              <w:rPr>
                <w:szCs w:val="28"/>
              </w:rPr>
              <w:t>-</w:t>
            </w:r>
            <w:r w:rsidRPr="00B94A87">
              <w:rPr>
                <w:szCs w:val="28"/>
              </w:rPr>
              <w:t>ных</w:t>
            </w:r>
            <w:proofErr w:type="spellEnd"/>
            <w:proofErr w:type="gramEnd"/>
            <w:r w:rsidRPr="00B94A87">
              <w:rPr>
                <w:szCs w:val="28"/>
              </w:rPr>
              <w:t xml:space="preserve"> культурных центров (автоклубов) для </w:t>
            </w:r>
            <w:r w:rsidR="00870701">
              <w:rPr>
                <w:szCs w:val="28"/>
              </w:rPr>
              <w:t xml:space="preserve">обслуживания сельского населения </w:t>
            </w:r>
            <w:r w:rsidRPr="00B94A87">
              <w:rPr>
                <w:szCs w:val="28"/>
              </w:rPr>
              <w:t>субъектов Российской Федерации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B94A87" w:rsidRPr="005F1CB1" w:rsidRDefault="00B94A87" w:rsidP="00B94A87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41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A25D43" w:rsidRDefault="00A25D43" w:rsidP="00A25D43">
            <w:pPr>
              <w:spacing w:line="240" w:lineRule="atLeast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Создание модельных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>
              <w:rPr>
                <w:i/>
                <w:szCs w:val="28"/>
              </w:rPr>
              <w:t xml:space="preserve"> библиотек</w:t>
            </w:r>
          </w:p>
        </w:tc>
      </w:tr>
      <w:tr w:rsidR="009A195F" w:rsidRPr="005F1CB1" w:rsidTr="00060D00">
        <w:trPr>
          <w:trHeight w:val="41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3.13</w:t>
            </w:r>
          </w:p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 xml:space="preserve">оздано 110 модельных муниципальных библиотек 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Разработан и внедрен модельный стандарт для 660 библиотек предусматривающий скоростной Интернет, доступ </w:t>
            </w:r>
            <w:r w:rsidR="004B72DC">
              <w:rPr>
                <w:szCs w:val="28"/>
              </w:rPr>
              <w:br/>
            </w:r>
            <w:r w:rsidRPr="005F1CB1">
              <w:rPr>
                <w:szCs w:val="28"/>
              </w:rPr>
              <w:t>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5F1CB1">
              <w:rPr>
                <w:szCs w:val="28"/>
                <w:lang w:val="en-US"/>
              </w:rPr>
              <w:t>Elibrary</w:t>
            </w:r>
            <w:proofErr w:type="spellEnd"/>
            <w:r w:rsidRPr="005F1CB1">
              <w:rPr>
                <w:szCs w:val="28"/>
              </w:rPr>
              <w:t xml:space="preserve">, ЛИТРЕС, правовые базы данных), на создание точек доступа к </w:t>
            </w:r>
            <w:proofErr w:type="spellStart"/>
            <w:r w:rsidRPr="005F1CB1">
              <w:rPr>
                <w:szCs w:val="28"/>
              </w:rPr>
              <w:t>НЭБу</w:t>
            </w:r>
            <w:proofErr w:type="spellEnd"/>
            <w:r w:rsidRPr="005F1CB1">
              <w:rPr>
                <w:szCs w:val="28"/>
              </w:rPr>
      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 для всех возрастных групп, переформатировав библиотеку в центр культурной жизни муниципального образования. По годам:</w:t>
            </w:r>
          </w:p>
          <w:p w:rsidR="009A195F" w:rsidRPr="005F1CB1" w:rsidRDefault="009A195F" w:rsidP="009A195F">
            <w:pPr>
              <w:spacing w:line="221" w:lineRule="atLeast"/>
              <w:rPr>
                <w:szCs w:val="28"/>
              </w:rPr>
            </w:pPr>
            <w:r w:rsidRPr="005F1CB1">
              <w:rPr>
                <w:szCs w:val="28"/>
              </w:rPr>
              <w:t>Стоимость типового комплекта оборудования и мебели по результатам пилотных проектов составляет 3 млн. рублей и будет выделяться из федерального бюджета. Субъекты обеспечивают ремонт помещения, комплектование и подключение интернет-канала со стороны регионального бюджета в размере 25% (в среднем). Отбор будет производиться на конкурсной основе.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lastRenderedPageBreak/>
              <w:t>Улучшилось качество библиотечного обслуживания за счет создания 660 модельных библиотек (180 межрайонных и 480 поселенческих библиотек).</w:t>
            </w:r>
          </w:p>
        </w:tc>
      </w:tr>
      <w:tr w:rsidR="009A195F" w:rsidRPr="005F1CB1" w:rsidTr="00060D00">
        <w:trPr>
          <w:trHeight w:val="894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3.14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220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330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3.16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440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3.17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550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3.18</w:t>
            </w:r>
          </w:p>
        </w:tc>
        <w:tc>
          <w:tcPr>
            <w:tcW w:w="2130" w:type="pct"/>
            <w:shd w:val="clear" w:color="auto" w:fill="auto"/>
          </w:tcPr>
          <w:p w:rsidR="009A195F" w:rsidRPr="00B22230" w:rsidRDefault="00A25D43" w:rsidP="009A195F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С</w:t>
            </w:r>
            <w:r w:rsidR="009A195F" w:rsidRPr="005F1CB1">
              <w:rPr>
                <w:rFonts w:eastAsia="Arial Unicode MS"/>
                <w:bCs/>
                <w:szCs w:val="28"/>
                <w:u w:color="000000"/>
              </w:rPr>
              <w:t>оздано 660 модельных муниципальных библиотек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trHeight w:val="248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br w:type="page"/>
            </w:r>
            <w:r w:rsidRPr="005F1CB1">
              <w:rPr>
                <w:b/>
                <w:szCs w:val="28"/>
              </w:rPr>
              <w:t>4.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after="120" w:line="240" w:lineRule="auto"/>
              <w:jc w:val="left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Создать условия для показа национальных кинофильмов в кинозалах, расположенных в населенных пунктах с численностью населения до 500 тыс. человек 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«ж» пункта 12 Указа Президента РФ от 7 мая 2018 № 204)</w:t>
            </w:r>
          </w:p>
        </w:tc>
      </w:tr>
      <w:tr w:rsidR="009A195F" w:rsidRPr="005F1CB1" w:rsidTr="00060D00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9A195F" w:rsidRPr="005F1CB1" w:rsidRDefault="009A195F" w:rsidP="009A195F">
            <w:pPr>
              <w:tabs>
                <w:tab w:val="left" w:pos="1323"/>
              </w:tabs>
              <w:spacing w:after="120" w:line="240" w:lineRule="auto"/>
              <w:jc w:val="left"/>
              <w:rPr>
                <w:i/>
                <w:szCs w:val="27"/>
              </w:rPr>
            </w:pPr>
            <w:r w:rsidRPr="005F1CB1">
              <w:rPr>
                <w:i/>
                <w:szCs w:val="27"/>
              </w:rPr>
              <w:t>Оснащение оборудованием кинозалов</w:t>
            </w:r>
          </w:p>
        </w:tc>
      </w:tr>
      <w:tr w:rsidR="009A195F" w:rsidRPr="005F1CB1" w:rsidTr="00060D00">
        <w:trPr>
          <w:trHeight w:val="389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4.1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200 кинозалов</w:t>
            </w:r>
          </w:p>
        </w:tc>
        <w:tc>
          <w:tcPr>
            <w:tcW w:w="2609" w:type="pct"/>
            <w:vMerge w:val="restart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К 2024 году будет создано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>200 современных кинозалов</w:t>
            </w:r>
            <w:r w:rsidR="00C7473D">
              <w:rPr>
                <w:szCs w:val="28"/>
              </w:rPr>
              <w:t>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</w:t>
            </w: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60 млн. человек получат доступ к просмотру к современным услугам кинопоказа за счет создания 1</w:t>
            </w:r>
            <w:r w:rsidR="00C7473D">
              <w:rPr>
                <w:szCs w:val="28"/>
              </w:rPr>
              <w:t xml:space="preserve"> </w:t>
            </w:r>
            <w:r w:rsidRPr="005F1CB1">
              <w:rPr>
                <w:szCs w:val="28"/>
              </w:rPr>
              <w:t xml:space="preserve">200 кинозалов. </w:t>
            </w:r>
          </w:p>
          <w:p w:rsidR="009A195F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</w:p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4.2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B222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400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4.3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600 кинозалов 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4.4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800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4.5</w:t>
            </w:r>
          </w:p>
        </w:tc>
        <w:tc>
          <w:tcPr>
            <w:tcW w:w="2130" w:type="pct"/>
            <w:shd w:val="clear" w:color="auto" w:fill="auto"/>
          </w:tcPr>
          <w:p w:rsidR="009A195F" w:rsidRPr="005F1CB1" w:rsidRDefault="00B22230" w:rsidP="009A19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000 кинозалов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(нарастающим итогом)</w:t>
            </w:r>
          </w:p>
          <w:p w:rsidR="009A195F" w:rsidRPr="005F1CB1" w:rsidRDefault="009A195F" w:rsidP="009A195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4.6</w:t>
            </w:r>
          </w:p>
        </w:tc>
        <w:tc>
          <w:tcPr>
            <w:tcW w:w="2130" w:type="pct"/>
            <w:shd w:val="clear" w:color="auto" w:fill="auto"/>
          </w:tcPr>
          <w:p w:rsidR="009A195F" w:rsidRPr="00C7473D" w:rsidRDefault="00B22230" w:rsidP="00C7473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A195F" w:rsidRPr="005F1CB1">
              <w:rPr>
                <w:szCs w:val="28"/>
              </w:rPr>
              <w:t>снащено оборудованием 1</w:t>
            </w:r>
            <w:r>
              <w:rPr>
                <w:szCs w:val="28"/>
              </w:rPr>
              <w:t xml:space="preserve"> </w:t>
            </w:r>
            <w:r w:rsidR="009A195F" w:rsidRPr="005F1CB1">
              <w:rPr>
                <w:szCs w:val="28"/>
              </w:rPr>
              <w:t>200 кинозалов (нарастающим итогом)</w:t>
            </w:r>
          </w:p>
        </w:tc>
        <w:tc>
          <w:tcPr>
            <w:tcW w:w="2609" w:type="pct"/>
            <w:vMerge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sz w:val="6"/>
                <w:szCs w:val="6"/>
              </w:rPr>
            </w:pPr>
          </w:p>
        </w:tc>
      </w:tr>
      <w:tr w:rsidR="00EC1C7A" w:rsidRPr="005F1CB1" w:rsidTr="00060D00">
        <w:trPr>
          <w:trHeight w:val="769"/>
          <w:jc w:val="center"/>
        </w:trPr>
        <w:tc>
          <w:tcPr>
            <w:tcW w:w="261" w:type="pct"/>
            <w:shd w:val="clear" w:color="auto" w:fill="auto"/>
          </w:tcPr>
          <w:p w:rsidR="00EC1C7A" w:rsidRPr="005F1CB1" w:rsidRDefault="00EC1C7A" w:rsidP="009A195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2130" w:type="pct"/>
            <w:shd w:val="clear" w:color="auto" w:fill="auto"/>
          </w:tcPr>
          <w:p w:rsidR="00EC1C7A" w:rsidRDefault="00EC1C7A" w:rsidP="00C7473D">
            <w:pPr>
              <w:spacing w:line="276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фильмовые материалы на цифровых носителях Госфильмофонда России</w:t>
            </w:r>
          </w:p>
        </w:tc>
        <w:tc>
          <w:tcPr>
            <w:tcW w:w="2609" w:type="pct"/>
            <w:shd w:val="clear" w:color="auto" w:fill="auto"/>
          </w:tcPr>
          <w:p w:rsidR="00EC1C7A" w:rsidRPr="005F1CB1" w:rsidRDefault="00EC1C7A" w:rsidP="009A195F">
            <w:pPr>
              <w:spacing w:line="240" w:lineRule="auto"/>
              <w:rPr>
                <w:sz w:val="6"/>
                <w:szCs w:val="6"/>
              </w:rPr>
            </w:pPr>
            <w:r w:rsidRPr="005F1CB1">
              <w:rPr>
                <w:szCs w:val="28"/>
              </w:rPr>
              <w:t xml:space="preserve">Всего будет оцифровано </w:t>
            </w:r>
            <w:r>
              <w:rPr>
                <w:szCs w:val="28"/>
              </w:rPr>
              <w:t>22 500</w:t>
            </w:r>
            <w:r w:rsidRPr="005F1CB1">
              <w:rPr>
                <w:szCs w:val="28"/>
              </w:rPr>
              <w:t xml:space="preserve"> наименований фильмовых материалов, что составит 100% от общего их числа.</w:t>
            </w:r>
          </w:p>
        </w:tc>
      </w:tr>
      <w:tr w:rsidR="009A195F" w:rsidRPr="005F1CB1" w:rsidTr="00060D00">
        <w:trPr>
          <w:trHeight w:val="1097"/>
          <w:jc w:val="center"/>
        </w:trPr>
        <w:tc>
          <w:tcPr>
            <w:tcW w:w="261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>5.</w:t>
            </w:r>
          </w:p>
        </w:tc>
        <w:tc>
          <w:tcPr>
            <w:tcW w:w="4739" w:type="pct"/>
            <w:gridSpan w:val="2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szCs w:val="27"/>
              </w:rPr>
              <w:t xml:space="preserve">Модернизировать региональные и муниципальные театры юного зрителя и кукольные театры путем </w:t>
            </w:r>
            <w:r w:rsidR="00EC1C7A">
              <w:rPr>
                <w:b/>
                <w:szCs w:val="27"/>
              </w:rPr>
              <w:br/>
            </w:r>
            <w:r w:rsidRPr="005F1CB1">
              <w:rPr>
                <w:b/>
                <w:szCs w:val="27"/>
              </w:rPr>
              <w:t>их реконструкции и капитального ремонта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7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«и» пункта 12 Указа Президента РФ от 7 мая 2018 № 204)</w:t>
            </w:r>
          </w:p>
        </w:tc>
      </w:tr>
    </w:tbl>
    <w:p w:rsidR="00060D00" w:rsidRDefault="00060D00">
      <w:r>
        <w:br w:type="page"/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800"/>
        <w:gridCol w:w="6509"/>
        <w:gridCol w:w="1136"/>
        <w:gridCol w:w="1136"/>
        <w:gridCol w:w="1149"/>
        <w:gridCol w:w="1136"/>
        <w:gridCol w:w="1136"/>
        <w:gridCol w:w="1127"/>
        <w:gridCol w:w="1149"/>
      </w:tblGrid>
      <w:tr w:rsidR="009A195F" w:rsidRPr="005F1CB1" w:rsidTr="00765020">
        <w:trPr>
          <w:gridBefore w:val="1"/>
          <w:wBefore w:w="12" w:type="pct"/>
          <w:trHeight w:val="438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76" w:lineRule="auto"/>
              <w:jc w:val="left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lastRenderedPageBreak/>
              <w:t>Р</w:t>
            </w:r>
            <w:r w:rsidRPr="005F1CB1">
              <w:rPr>
                <w:rFonts w:eastAsia="Arial Unicode MS"/>
                <w:bCs/>
                <w:i/>
                <w:szCs w:val="28"/>
                <w:u w:color="000000"/>
              </w:rPr>
              <w:t xml:space="preserve">еконструкция, капитальный ремонт </w:t>
            </w:r>
            <w:r w:rsidRPr="005F1CB1">
              <w:rPr>
                <w:i/>
                <w:szCs w:val="28"/>
              </w:rPr>
              <w:t>региональных и муниципальных театров юного зрителя и театров кукол</w:t>
            </w:r>
          </w:p>
        </w:tc>
      </w:tr>
      <w:tr w:rsidR="00132FDD" w:rsidRPr="005F1CB1" w:rsidTr="00060D00">
        <w:trPr>
          <w:gridBefore w:val="1"/>
          <w:wBefore w:w="12" w:type="pct"/>
          <w:trHeight w:val="524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5.1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К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апитально отремонтирован 1 </w:t>
            </w:r>
            <w:r w:rsidRPr="005F1CB1">
              <w:rPr>
                <w:szCs w:val="28"/>
              </w:rPr>
              <w:t>театр для детей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5F1CB1">
              <w:rPr>
                <w:szCs w:val="28"/>
              </w:rPr>
              <w:t>К 2024 году 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                                 40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театров кукол (25% от действующей сети), что позволит увеличь количество посещаемости на 20%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>
            <w:pPr>
              <w:spacing w:line="240" w:lineRule="auto"/>
            </w:pPr>
            <w:r w:rsidRPr="005F1CB1">
              <w:rPr>
                <w:szCs w:val="28"/>
              </w:rPr>
              <w:t xml:space="preserve">Количество зрителей в обновленных детских театрах увеличится на 15% и составит 4,1 млн. зрителей за счет реконструкции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и капитального ремонта 40 региональных и муниципальных театров для детей</w:t>
            </w:r>
            <w:r>
              <w:rPr>
                <w:szCs w:val="28"/>
              </w:rPr>
              <w:t>.</w:t>
            </w:r>
          </w:p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  <w:p w:rsidR="00132FDD" w:rsidRPr="005F1CB1" w:rsidRDefault="00132FDD" w:rsidP="009A195F"/>
        </w:tc>
      </w:tr>
      <w:tr w:rsidR="00132FDD" w:rsidRPr="005F1CB1" w:rsidTr="00060D00">
        <w:trPr>
          <w:gridBefore w:val="1"/>
          <w:wBefore w:w="12" w:type="pct"/>
          <w:trHeight w:val="113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5.2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5 </w:t>
            </w:r>
            <w:r w:rsidRPr="005F1CB1">
              <w:rPr>
                <w:szCs w:val="28"/>
              </w:rPr>
              <w:t xml:space="preserve">региональных и муниципальных театров юного зрителя и театров кукол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5.3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8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5.4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21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  <w:p w:rsidR="00132FDD" w:rsidRPr="005F1CB1" w:rsidRDefault="00132FDD" w:rsidP="009A195F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1159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</w:rPr>
            </w:pPr>
            <w:r w:rsidRPr="005F1CB1">
              <w:rPr>
                <w:szCs w:val="28"/>
              </w:rPr>
              <w:t>5.5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132FDD">
            <w:pPr>
              <w:spacing w:line="276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33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132FDD" w:rsidRPr="005F1CB1" w:rsidTr="00060D00">
        <w:trPr>
          <w:gridBefore w:val="1"/>
          <w:wBefore w:w="12" w:type="pct"/>
          <w:trHeight w:val="652"/>
          <w:jc w:val="center"/>
        </w:trPr>
        <w:tc>
          <w:tcPr>
            <w:tcW w:w="260" w:type="pct"/>
            <w:shd w:val="clear" w:color="auto" w:fill="auto"/>
          </w:tcPr>
          <w:p w:rsidR="00132FDD" w:rsidRPr="005F1CB1" w:rsidRDefault="00132FDD" w:rsidP="009A195F">
            <w:pPr>
              <w:spacing w:line="240" w:lineRule="atLeast"/>
              <w:jc w:val="center"/>
              <w:rPr>
                <w:szCs w:val="28"/>
                <w:lang w:val="en-US"/>
              </w:rPr>
            </w:pPr>
            <w:r w:rsidRPr="005F1CB1">
              <w:rPr>
                <w:szCs w:val="28"/>
              </w:rPr>
              <w:t>5.6</w:t>
            </w:r>
          </w:p>
        </w:tc>
        <w:tc>
          <w:tcPr>
            <w:tcW w:w="2125" w:type="pct"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Р</w:t>
            </w:r>
            <w:r w:rsidRPr="005F1CB1">
              <w:rPr>
                <w:rFonts w:eastAsia="Arial Unicode MS"/>
                <w:bCs/>
                <w:szCs w:val="28"/>
                <w:u w:color="000000"/>
              </w:rPr>
              <w:t xml:space="preserve">еконструировано, капитально отремонтировано 40 </w:t>
            </w:r>
            <w:r w:rsidRPr="005F1CB1">
              <w:rPr>
                <w:szCs w:val="28"/>
              </w:rPr>
              <w:t>региональных и муниципальных театров юного зрителя и театров кукол 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132FDD" w:rsidRPr="005F1CB1" w:rsidRDefault="00132FDD" w:rsidP="009A195F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Before w:val="1"/>
          <w:wBefore w:w="12" w:type="pct"/>
          <w:trHeight w:val="490"/>
          <w:jc w:val="center"/>
        </w:trPr>
        <w:tc>
          <w:tcPr>
            <w:tcW w:w="260" w:type="pct"/>
            <w:shd w:val="clear" w:color="auto" w:fill="auto"/>
          </w:tcPr>
          <w:p w:rsidR="009A195F" w:rsidRPr="005F1CB1" w:rsidRDefault="009A195F" w:rsidP="009A195F">
            <w:pPr>
              <w:spacing w:line="240" w:lineRule="atLeast"/>
              <w:jc w:val="center"/>
              <w:rPr>
                <w:b/>
                <w:szCs w:val="28"/>
              </w:rPr>
            </w:pPr>
            <w:r w:rsidRPr="005F1CB1">
              <w:rPr>
                <w:b/>
                <w:szCs w:val="28"/>
              </w:rPr>
              <w:t xml:space="preserve">6. </w:t>
            </w:r>
          </w:p>
        </w:tc>
        <w:tc>
          <w:tcPr>
            <w:tcW w:w="4727" w:type="pct"/>
            <w:gridSpan w:val="8"/>
            <w:shd w:val="clear" w:color="auto" w:fill="auto"/>
          </w:tcPr>
          <w:p w:rsidR="009A195F" w:rsidRPr="005F1CB1" w:rsidRDefault="009A195F" w:rsidP="00E57128">
            <w:pPr>
              <w:spacing w:after="120" w:line="240" w:lineRule="auto"/>
              <w:rPr>
                <w:rFonts w:eastAsia="Arial Unicode MS"/>
                <w:b/>
                <w:bCs/>
                <w:szCs w:val="28"/>
              </w:rPr>
            </w:pPr>
            <w:r w:rsidRPr="005F1CB1">
              <w:rPr>
                <w:rFonts w:eastAsia="Arial Unicode MS"/>
                <w:b/>
                <w:bCs/>
                <w:szCs w:val="28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</w:t>
            </w:r>
          </w:p>
          <w:p w:rsidR="009A195F" w:rsidRPr="005F1CB1" w:rsidRDefault="009A195F" w:rsidP="009A195F">
            <w:pPr>
              <w:spacing w:line="240" w:lineRule="auto"/>
              <w:rPr>
                <w:b/>
                <w:szCs w:val="28"/>
              </w:rPr>
            </w:pPr>
            <w:r w:rsidRPr="005F1CB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5F1CB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5F1CB1">
              <w:rPr>
                <w:b/>
                <w:i/>
                <w:sz w:val="24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9A195F" w:rsidRPr="005F1CB1" w:rsidTr="00765020">
        <w:trPr>
          <w:gridBefore w:val="1"/>
          <w:wBefore w:w="12" w:type="pct"/>
          <w:jc w:val="center"/>
        </w:trPr>
        <w:tc>
          <w:tcPr>
            <w:tcW w:w="4988" w:type="pct"/>
            <w:gridSpan w:val="9"/>
            <w:shd w:val="clear" w:color="auto" w:fill="auto"/>
          </w:tcPr>
          <w:p w:rsidR="009A195F" w:rsidRPr="005F1CB1" w:rsidRDefault="009A195F" w:rsidP="009A195F">
            <w:pPr>
              <w:spacing w:line="240" w:lineRule="auto"/>
              <w:rPr>
                <w:i/>
                <w:szCs w:val="28"/>
              </w:rPr>
            </w:pPr>
            <w:r w:rsidRPr="005F1CB1">
              <w:rPr>
                <w:i/>
                <w:szCs w:val="28"/>
              </w:rPr>
              <w:t>Выделение на конкурсной основе грантов на возрождение усадеб и реновацию федеральных, региональных и муниципальных учреждений отрасли культуры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10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</w:p>
        </w:tc>
        <w:tc>
          <w:tcPr>
            <w:tcW w:w="2603" w:type="pct"/>
            <w:gridSpan w:val="7"/>
            <w:vMerge w:val="restar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Выделены на конкурсной основе гранты на возрождение усадеб</w:t>
            </w:r>
            <w:r>
              <w:rPr>
                <w:szCs w:val="28"/>
              </w:rPr>
              <w:t>.</w:t>
            </w: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6.2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20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 xml:space="preserve">Созданы условия для возрождения </w:t>
            </w:r>
            <w:r>
              <w:rPr>
                <w:szCs w:val="28"/>
              </w:rPr>
              <w:t xml:space="preserve">30 </w:t>
            </w:r>
            <w:r w:rsidRPr="005F1CB1">
              <w:rPr>
                <w:szCs w:val="28"/>
              </w:rPr>
              <w:t xml:space="preserve">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40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</w:t>
            </w:r>
            <w:r>
              <w:rPr>
                <w:szCs w:val="28"/>
              </w:rPr>
              <w:t xml:space="preserve">а </w:t>
            </w:r>
            <w:r>
              <w:rPr>
                <w:szCs w:val="28"/>
              </w:rPr>
              <w:br/>
              <w:t>(нарастающим итогом)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E57128" w:rsidRPr="005F1CB1" w:rsidTr="00060D00">
        <w:trPr>
          <w:gridBefore w:val="1"/>
          <w:wBefore w:w="12" w:type="pct"/>
          <w:trHeight w:val="671"/>
          <w:jc w:val="center"/>
        </w:trPr>
        <w:tc>
          <w:tcPr>
            <w:tcW w:w="260" w:type="pct"/>
            <w:shd w:val="clear" w:color="auto" w:fill="auto"/>
          </w:tcPr>
          <w:p w:rsidR="00E57128" w:rsidRPr="005F1CB1" w:rsidRDefault="00E57128" w:rsidP="00E571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2125" w:type="pct"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  <w:r w:rsidRPr="005F1CB1">
              <w:rPr>
                <w:szCs w:val="28"/>
              </w:rPr>
              <w:t>Созданы условия для возрождения</w:t>
            </w:r>
            <w:r>
              <w:rPr>
                <w:szCs w:val="28"/>
              </w:rPr>
              <w:t xml:space="preserve"> 50</w:t>
            </w:r>
            <w:r w:rsidRPr="005F1CB1">
              <w:rPr>
                <w:szCs w:val="28"/>
              </w:rPr>
              <w:t xml:space="preserve"> усадеб за счет выделения грантов на проекты, реализуемые </w:t>
            </w:r>
            <w:r>
              <w:rPr>
                <w:szCs w:val="28"/>
              </w:rPr>
              <w:br/>
            </w:r>
            <w:r w:rsidRPr="005F1CB1">
              <w:rPr>
                <w:szCs w:val="28"/>
              </w:rPr>
              <w:t>в формате государственно-частного партнерства</w:t>
            </w:r>
            <w:r>
              <w:rPr>
                <w:szCs w:val="28"/>
              </w:rPr>
              <w:br/>
              <w:t xml:space="preserve"> (нарастающим итогом) </w:t>
            </w:r>
          </w:p>
        </w:tc>
        <w:tc>
          <w:tcPr>
            <w:tcW w:w="2603" w:type="pct"/>
            <w:gridSpan w:val="7"/>
            <w:vMerge/>
            <w:shd w:val="clear" w:color="auto" w:fill="auto"/>
          </w:tcPr>
          <w:p w:rsidR="00E57128" w:rsidRPr="005F1CB1" w:rsidRDefault="00E57128" w:rsidP="00E57128">
            <w:pPr>
              <w:spacing w:line="240" w:lineRule="auto"/>
              <w:rPr>
                <w:szCs w:val="28"/>
              </w:rPr>
            </w:pPr>
          </w:p>
        </w:tc>
      </w:tr>
      <w:tr w:rsidR="009A195F" w:rsidRPr="005F1CB1" w:rsidTr="00060D00">
        <w:trPr>
          <w:gridAfter w:val="1"/>
          <w:wAfter w:w="376" w:type="pct"/>
          <w:trHeight w:val="818"/>
          <w:jc w:val="center"/>
        </w:trPr>
        <w:tc>
          <w:tcPr>
            <w:tcW w:w="46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</w:pPr>
            <w:r w:rsidRPr="005F1CB1">
              <w:br w:type="page"/>
            </w: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Pr="005F1CB1" w:rsidRDefault="009A195F" w:rsidP="009A195F">
            <w:pPr>
              <w:spacing w:line="240" w:lineRule="auto"/>
              <w:jc w:val="center"/>
            </w:pPr>
          </w:p>
          <w:p w:rsidR="009A195F" w:rsidRDefault="009A195F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386D2C" w:rsidRDefault="00386D2C" w:rsidP="009A195F">
            <w:pPr>
              <w:spacing w:line="240" w:lineRule="auto"/>
              <w:jc w:val="center"/>
            </w:pPr>
          </w:p>
          <w:p w:rsidR="004B72DC" w:rsidRDefault="004B72DC" w:rsidP="009A195F">
            <w:pPr>
              <w:spacing w:line="240" w:lineRule="auto"/>
              <w:jc w:val="center"/>
            </w:pPr>
          </w:p>
          <w:p w:rsidR="004B72DC" w:rsidRPr="005F1CB1" w:rsidRDefault="004B72DC" w:rsidP="009A195F">
            <w:pPr>
              <w:spacing w:line="240" w:lineRule="auto"/>
              <w:jc w:val="center"/>
            </w:pPr>
          </w:p>
          <w:p w:rsidR="009A195F" w:rsidRPr="004B72DC" w:rsidRDefault="009A195F" w:rsidP="004B72DC">
            <w:pPr>
              <w:spacing w:line="240" w:lineRule="auto"/>
              <w:jc w:val="center"/>
              <w:rPr>
                <w:bCs/>
                <w:szCs w:val="28"/>
              </w:rPr>
            </w:pPr>
            <w:r w:rsidRPr="004B72DC">
              <w:rPr>
                <w:bCs/>
                <w:szCs w:val="28"/>
              </w:rPr>
              <w:lastRenderedPageBreak/>
              <w:t>4. Финансовое обеспечение федерального проекта «Культурная среда»</w:t>
            </w:r>
          </w:p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5F1CB1">
              <w:rPr>
                <w:bCs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F1CB1">
              <w:rPr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Объем финансового обеспечения по годам реализации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 xml:space="preserve"> 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Всего</w:t>
            </w:r>
          </w:p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(млн. рублей)</w:t>
            </w:r>
          </w:p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5F" w:rsidRPr="005F1CB1" w:rsidRDefault="009A195F" w:rsidP="009A195F">
            <w:pPr>
              <w:jc w:val="center"/>
              <w:rPr>
                <w:sz w:val="26"/>
                <w:szCs w:val="26"/>
              </w:rPr>
            </w:pPr>
            <w:r w:rsidRPr="005F1CB1">
              <w:rPr>
                <w:sz w:val="26"/>
                <w:szCs w:val="26"/>
              </w:rPr>
              <w:t>2024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95F" w:rsidRPr="005F1CB1" w:rsidRDefault="009A195F" w:rsidP="009A19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центров культурного развития в городах с числом жителей до 300 </w:t>
            </w:r>
            <w:proofErr w:type="spellStart"/>
            <w:r w:rsidRPr="005F1CB1">
              <w:rPr>
                <w:b/>
                <w:bCs/>
                <w:sz w:val="24"/>
                <w:szCs w:val="24"/>
              </w:rPr>
              <w:t>тыс.человек</w:t>
            </w:r>
            <w:proofErr w:type="spellEnd"/>
            <w:r w:rsidRPr="005F1C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1 550,00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1 630,00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5 529,60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1 426,00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2 116,00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1 499,60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5 409,60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130,40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470,40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1 380,00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8280,00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720,00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(реконструкция) и капитальный ремонт учреждений культурно-досугового типа в сельской местности. </w:t>
            </w: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 xml:space="preserve">Предусмотрено в 2019 году в федеральном бюджете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2900,00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федеральный бюджет 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13 340,00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2 635,50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2 668,00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16 207,50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из них межбюджетных трансфертов бюджету(</w:t>
            </w:r>
            <w:proofErr w:type="spellStart"/>
            <w:r w:rsidRPr="001B5253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1B5253">
              <w:rPr>
                <w:b/>
                <w:b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232,00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1 160,00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460,00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2 760,00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240,00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модельных муниципальных библиотек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700,00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4 200,00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6 000,00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Модернизация региональных и муниципальных театров юного зрителя и театров кукол путем их реконструкции, капитального ремонта                                       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562,90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920,00  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871,90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1 331,70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1 457,00   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1 506,50   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    6 650,00   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         867,30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532,90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867,30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825,20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1256,80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1 376,50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1403,90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6 262,60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387,4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Создание фильмовых материалов на цифровых носителях Госфильмофонда России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3 670,00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возрождение русских усадеб   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федеральных учреждений отрасли культуры </w:t>
            </w:r>
            <w:r w:rsidRPr="005F1CB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410,00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3 500,00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4 542,80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18 052,80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 xml:space="preserve">Гранты на реновацию региональных и муниципальных учреждений отрасли культуры                                        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920,00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2 120,00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7 500,00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5F1CB1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1CB1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5F1CB1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ИТОГ ПО ПРОЕКТУ № 1: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8 748,90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10 164,00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13 101,90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16 711,70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17 467,00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16 379,30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82 572,80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федеральном бюджете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2 900,00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5F1C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 xml:space="preserve">федеральный бюджет </w:t>
            </w:r>
            <w:r w:rsidRPr="001B5253">
              <w:rPr>
                <w:i/>
                <w:iCs/>
                <w:sz w:val="24"/>
                <w:szCs w:val="24"/>
              </w:rPr>
              <w:t>(дополнительное финансирование)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5 058,90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9 719,30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12 631,20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16 120,80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16 810,50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15 754,30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76 095,00</w:t>
            </w:r>
          </w:p>
        </w:tc>
      </w:tr>
      <w:tr w:rsidR="009A195F" w:rsidRPr="005F1CB1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5 972,90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6 042,80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6 401,20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7 890,80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8 700,50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8 111,50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43 119,70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5F1CB1" w:rsidRDefault="009A195F" w:rsidP="009A195F">
            <w:pPr>
              <w:jc w:val="center"/>
              <w:rPr>
                <w:sz w:val="24"/>
                <w:szCs w:val="24"/>
              </w:rPr>
            </w:pPr>
            <w:r w:rsidRPr="005F1CB1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jc w:val="center"/>
        </w:trPr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в консолидированных бюджетах субъектов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444,70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470,70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590,90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656,50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625,00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2 977,80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E35B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95F" w:rsidRPr="001B5253" w:rsidRDefault="009A195F" w:rsidP="009A195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Предусмотрено в 2019 году из них межбюджетных трансфертов бюджету(</w:t>
            </w:r>
            <w:proofErr w:type="spellStart"/>
            <w:r w:rsidRPr="001B5253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1B5253">
              <w:rPr>
                <w:b/>
                <w:b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253">
              <w:rPr>
                <w:b/>
                <w:bCs/>
                <w:sz w:val="24"/>
                <w:szCs w:val="24"/>
              </w:rPr>
              <w:t>600,00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spacing w:line="276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1B5253">
              <w:rPr>
                <w:i/>
                <w:iCs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1B5253">
              <w:rPr>
                <w:i/>
                <w:iCs/>
                <w:sz w:val="24"/>
                <w:szCs w:val="24"/>
              </w:rPr>
              <w:t>ам</w:t>
            </w:r>
            <w:proofErr w:type="spellEnd"/>
            <w:r w:rsidRPr="001B5253">
              <w:rPr>
                <w:i/>
                <w:iCs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160,00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392,00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424,00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516,00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576,00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522,40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1B5253" w:rsidRDefault="009A195F" w:rsidP="009A195F">
            <w:pPr>
              <w:jc w:val="center"/>
              <w:rPr>
                <w:sz w:val="24"/>
                <w:szCs w:val="24"/>
              </w:rPr>
            </w:pPr>
            <w:r w:rsidRPr="001B5253">
              <w:rPr>
                <w:sz w:val="24"/>
                <w:szCs w:val="24"/>
              </w:rPr>
              <w:t>2 590,40</w:t>
            </w:r>
          </w:p>
        </w:tc>
      </w:tr>
      <w:tr w:rsidR="009A195F" w:rsidRPr="0020058E" w:rsidTr="00060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2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5F" w:rsidRPr="00E35B87" w:rsidRDefault="009A195F" w:rsidP="009A195F">
            <w:pPr>
              <w:jc w:val="center"/>
              <w:rPr>
                <w:sz w:val="24"/>
                <w:szCs w:val="24"/>
              </w:rPr>
            </w:pPr>
            <w:r w:rsidRPr="00E35B87">
              <w:rPr>
                <w:sz w:val="24"/>
                <w:szCs w:val="24"/>
              </w:rPr>
              <w:t>0,00</w:t>
            </w:r>
          </w:p>
        </w:tc>
      </w:tr>
    </w:tbl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Pr="0020058E" w:rsidRDefault="0020058E" w:rsidP="0020058E">
      <w:pPr>
        <w:spacing w:line="240" w:lineRule="exact"/>
        <w:jc w:val="center"/>
        <w:rPr>
          <w:b/>
        </w:rPr>
      </w:pPr>
    </w:p>
    <w:p w:rsidR="0020058E" w:rsidRDefault="0020058E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4B72DC" w:rsidRDefault="004B72DC" w:rsidP="0020058E">
      <w:pPr>
        <w:spacing w:line="240" w:lineRule="exact"/>
        <w:jc w:val="center"/>
        <w:rPr>
          <w:b/>
        </w:rPr>
      </w:pPr>
    </w:p>
    <w:p w:rsidR="00E35B87" w:rsidRDefault="00E35B87" w:rsidP="0020058E">
      <w:pPr>
        <w:spacing w:line="240" w:lineRule="exact"/>
        <w:jc w:val="center"/>
        <w:rPr>
          <w:b/>
        </w:rPr>
      </w:pPr>
    </w:p>
    <w:p w:rsidR="00E35B87" w:rsidRPr="0020058E" w:rsidRDefault="00E35B87" w:rsidP="0020058E">
      <w:pPr>
        <w:spacing w:line="240" w:lineRule="exact"/>
        <w:jc w:val="center"/>
        <w:rPr>
          <w:b/>
        </w:rPr>
      </w:pPr>
    </w:p>
    <w:p w:rsidR="00943121" w:rsidRPr="004B72DC" w:rsidRDefault="00943121" w:rsidP="004B614E">
      <w:pPr>
        <w:spacing w:line="240" w:lineRule="exact"/>
        <w:jc w:val="center"/>
      </w:pPr>
      <w:r w:rsidRPr="004B72DC">
        <w:lastRenderedPageBreak/>
        <w:t>5. Участники федерального проекта</w:t>
      </w:r>
    </w:p>
    <w:p w:rsidR="00943121" w:rsidRPr="00761213" w:rsidRDefault="00943121" w:rsidP="004B614E">
      <w:pPr>
        <w:spacing w:line="120" w:lineRule="exact"/>
        <w:jc w:val="center"/>
      </w:pPr>
    </w:p>
    <w:p w:rsidR="00943121" w:rsidRPr="00761213" w:rsidRDefault="00943121" w:rsidP="004B614E">
      <w:pPr>
        <w:spacing w:line="240" w:lineRule="atLeast"/>
        <w:jc w:val="center"/>
        <w:rPr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3"/>
        <w:gridCol w:w="3232"/>
        <w:gridCol w:w="2255"/>
        <w:gridCol w:w="3945"/>
        <w:gridCol w:w="2820"/>
        <w:gridCol w:w="1519"/>
      </w:tblGrid>
      <w:tr w:rsidR="00943121" w:rsidRPr="00761213" w:rsidTr="00325001">
        <w:trPr>
          <w:cantSplit/>
          <w:trHeight w:val="1091"/>
          <w:tblHeader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4B614E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№ п/п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943121" w:rsidRPr="00761213" w:rsidRDefault="00943121" w:rsidP="005A0755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3995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Должность</w:t>
            </w:r>
          </w:p>
        </w:tc>
        <w:tc>
          <w:tcPr>
            <w:tcW w:w="2854" w:type="dxa"/>
            <w:shd w:val="clear" w:color="auto" w:fill="auto"/>
            <w:noWrap/>
            <w:vAlign w:val="center"/>
          </w:tcPr>
          <w:p w:rsidR="00943121" w:rsidRPr="00761213" w:rsidRDefault="00943121" w:rsidP="00135F83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Непосредственный</w:t>
            </w:r>
            <w:r w:rsidRPr="00761213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761213" w:rsidRDefault="00943121" w:rsidP="00135F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Занятость в проекте (процентов)</w:t>
            </w:r>
          </w:p>
        </w:tc>
      </w:tr>
      <w:tr w:rsidR="00943121" w:rsidRPr="00761213" w:rsidTr="00325001">
        <w:trPr>
          <w:cantSplit/>
          <w:trHeight w:val="1498"/>
        </w:trPr>
        <w:tc>
          <w:tcPr>
            <w:tcW w:w="689" w:type="dxa"/>
            <w:shd w:val="clear" w:color="auto" w:fill="auto"/>
            <w:noWrap/>
            <w:hideMark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1.</w:t>
            </w:r>
          </w:p>
        </w:tc>
        <w:tc>
          <w:tcPr>
            <w:tcW w:w="3272" w:type="dxa"/>
            <w:shd w:val="clear" w:color="auto" w:fill="auto"/>
            <w:noWrap/>
          </w:tcPr>
          <w:p w:rsidR="000668F6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Руководитель 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0668F6" w:rsidP="004B614E">
            <w:pPr>
              <w:spacing w:line="240" w:lineRule="atLeas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С.Г.Обрывалин</w:t>
            </w:r>
          </w:p>
        </w:tc>
        <w:tc>
          <w:tcPr>
            <w:tcW w:w="3995" w:type="dxa"/>
            <w:shd w:val="clear" w:color="auto" w:fill="auto"/>
            <w:noWrap/>
          </w:tcPr>
          <w:p w:rsidR="00943121" w:rsidRPr="00761213" w:rsidRDefault="000668F6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</w:t>
            </w: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 xml:space="preserve">Министр культуры Российской Федерации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proofErr w:type="spellStart"/>
            <w:r w:rsidRPr="00761213">
              <w:rPr>
                <w:sz w:val="26"/>
                <w:szCs w:val="26"/>
              </w:rPr>
              <w:t>В.Р.Мединский</w:t>
            </w:r>
            <w:proofErr w:type="spellEnd"/>
            <w:r w:rsidRPr="00761213">
              <w:rPr>
                <w:sz w:val="26"/>
                <w:szCs w:val="26"/>
              </w:rPr>
              <w:t xml:space="preserve"> </w:t>
            </w:r>
          </w:p>
          <w:p w:rsidR="00CF5A34" w:rsidRPr="00761213" w:rsidRDefault="00CF5A34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  <w:tr w:rsidR="00943121" w:rsidRPr="00761213" w:rsidTr="00325001">
        <w:trPr>
          <w:cantSplit/>
          <w:trHeight w:val="1873"/>
        </w:trPr>
        <w:tc>
          <w:tcPr>
            <w:tcW w:w="689" w:type="dxa"/>
            <w:shd w:val="clear" w:color="auto" w:fill="auto"/>
            <w:noWrap/>
          </w:tcPr>
          <w:p w:rsidR="00943121" w:rsidRPr="00761213" w:rsidRDefault="00943121" w:rsidP="004B61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2.</w:t>
            </w:r>
          </w:p>
        </w:tc>
        <w:tc>
          <w:tcPr>
            <w:tcW w:w="3272" w:type="dxa"/>
            <w:shd w:val="clear" w:color="auto" w:fill="auto"/>
            <w:noWrap/>
          </w:tcPr>
          <w:p w:rsidR="00943121" w:rsidRPr="00761213" w:rsidRDefault="001E7612" w:rsidP="004B614E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Администратор </w:t>
            </w:r>
            <w:r w:rsidR="00943121" w:rsidRPr="00761213">
              <w:rPr>
                <w:rFonts w:eastAsia="Arial Unicode MS"/>
                <w:bCs/>
                <w:sz w:val="26"/>
                <w:szCs w:val="26"/>
                <w:u w:color="000000"/>
              </w:rPr>
              <w:t>федерального проекта</w:t>
            </w:r>
          </w:p>
        </w:tc>
        <w:tc>
          <w:tcPr>
            <w:tcW w:w="2282" w:type="dxa"/>
            <w:shd w:val="clear" w:color="auto" w:fill="auto"/>
            <w:noWrap/>
          </w:tcPr>
          <w:p w:rsidR="00943121" w:rsidRPr="00761213" w:rsidRDefault="00C52F1C" w:rsidP="004B614E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761213">
              <w:rPr>
                <w:sz w:val="26"/>
                <w:szCs w:val="26"/>
              </w:rPr>
              <w:t>М.В.Кононов</w:t>
            </w:r>
            <w:proofErr w:type="spellEnd"/>
          </w:p>
        </w:tc>
        <w:tc>
          <w:tcPr>
            <w:tcW w:w="3995" w:type="dxa"/>
            <w:shd w:val="clear" w:color="auto" w:fill="auto"/>
            <w:noWrap/>
          </w:tcPr>
          <w:p w:rsidR="00B5008E" w:rsidRPr="00761213" w:rsidRDefault="00B5008E" w:rsidP="00386D2C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lang w:eastAsia="en-US"/>
              </w:rPr>
            </w:pPr>
            <w:r w:rsidRPr="00761213">
              <w:rPr>
                <w:rFonts w:ascii="PT Serif" w:hAnsi="PT Serif" w:hint="eastAsia"/>
                <w:bCs/>
                <w:sz w:val="26"/>
                <w:szCs w:val="26"/>
              </w:rPr>
              <w:t>Директор</w:t>
            </w:r>
            <w:r w:rsidRPr="00761213">
              <w:rPr>
                <w:rFonts w:ascii="PT Serif" w:hAnsi="PT Serif"/>
                <w:bCs/>
                <w:sz w:val="26"/>
                <w:szCs w:val="26"/>
              </w:rPr>
              <w:t xml:space="preserve"> Департамента инвестиций и имущества Минкультуры России </w:t>
            </w:r>
          </w:p>
          <w:p w:rsidR="00943121" w:rsidRPr="00761213" w:rsidRDefault="00943121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854" w:type="dxa"/>
            <w:shd w:val="clear" w:color="auto" w:fill="auto"/>
            <w:noWrap/>
          </w:tcPr>
          <w:p w:rsidR="00943121" w:rsidRPr="00761213" w:rsidRDefault="00B5008E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Заместитель Министра культуры Российской Федерации С.Г.Обрывалин</w:t>
            </w:r>
          </w:p>
          <w:p w:rsidR="00EC3ABF" w:rsidRPr="00761213" w:rsidRDefault="00EC3ABF" w:rsidP="00386D2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536" w:type="dxa"/>
            <w:shd w:val="clear" w:color="auto" w:fill="auto"/>
          </w:tcPr>
          <w:p w:rsidR="00943121" w:rsidRPr="00761213" w:rsidRDefault="00954C39" w:rsidP="00135F8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61213">
              <w:rPr>
                <w:sz w:val="26"/>
                <w:szCs w:val="26"/>
              </w:rPr>
              <w:t>30</w:t>
            </w:r>
            <w:r w:rsidR="00CF5A34" w:rsidRPr="00761213">
              <w:rPr>
                <w:sz w:val="26"/>
                <w:szCs w:val="26"/>
              </w:rPr>
              <w:t>%</w:t>
            </w:r>
          </w:p>
        </w:tc>
      </w:tr>
    </w:tbl>
    <w:p w:rsidR="0057076E" w:rsidRPr="00761213" w:rsidRDefault="0057076E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383B7A" w:rsidRPr="00761213" w:rsidRDefault="00383B7A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Pr="00761213" w:rsidRDefault="005E4897" w:rsidP="0057076E">
      <w:pPr>
        <w:jc w:val="center"/>
      </w:pPr>
    </w:p>
    <w:p w:rsidR="005E4897" w:rsidRDefault="005E4897" w:rsidP="0057076E">
      <w:pPr>
        <w:jc w:val="center"/>
      </w:pPr>
    </w:p>
    <w:p w:rsidR="004B72DC" w:rsidRPr="00761213" w:rsidRDefault="004B72DC" w:rsidP="0057076E">
      <w:pPr>
        <w:jc w:val="center"/>
      </w:pPr>
    </w:p>
    <w:p w:rsidR="00055FD5" w:rsidRDefault="00055FD5" w:rsidP="00E35B87"/>
    <w:p w:rsidR="00055FD5" w:rsidRPr="00761213" w:rsidRDefault="00055FD5" w:rsidP="0057076E">
      <w:pPr>
        <w:jc w:val="center"/>
      </w:pPr>
    </w:p>
    <w:p w:rsidR="00AE0DEC" w:rsidRPr="004B72DC" w:rsidRDefault="00AE0DEC" w:rsidP="00AE0DEC">
      <w:pPr>
        <w:spacing w:line="240" w:lineRule="exact"/>
        <w:jc w:val="center"/>
      </w:pPr>
      <w:r w:rsidRPr="004B72DC">
        <w:lastRenderedPageBreak/>
        <w:t>6. Дополнительные обосновывающие материалы</w:t>
      </w:r>
    </w:p>
    <w:p w:rsidR="00AE0DEC" w:rsidRPr="00761213" w:rsidRDefault="00AE0DEC" w:rsidP="00AE0DEC">
      <w:pPr>
        <w:spacing w:line="240" w:lineRule="exact"/>
        <w:rPr>
          <w:b/>
        </w:rPr>
      </w:pPr>
    </w:p>
    <w:p w:rsidR="00AE0DEC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</w:t>
      </w:r>
      <w:r w:rsidR="006B051F" w:rsidRPr="00761213">
        <w:rPr>
          <w:rFonts w:eastAsia="Arial Unicode MS"/>
          <w:bCs/>
          <w:szCs w:val="28"/>
          <w:u w:color="000000"/>
        </w:rPr>
        <w:t>1. </w:t>
      </w:r>
      <w:r w:rsidR="00AE0DEC" w:rsidRPr="00761213">
        <w:rPr>
          <w:rFonts w:eastAsia="Arial Unicode MS"/>
          <w:bCs/>
          <w:szCs w:val="28"/>
          <w:u w:color="000000"/>
        </w:rPr>
        <w:t>Базовое значение показателя федерального проекта «Культурная среда» «Количество созданных (реконструированных) и капитально отремонтированных объектов организаций культуры» (</w:t>
      </w:r>
      <w:r w:rsidR="00926BC8" w:rsidRPr="00761213">
        <w:rPr>
          <w:rFonts w:eastAsia="Arial Unicode MS"/>
          <w:bCs/>
          <w:szCs w:val="28"/>
          <w:u w:color="000000"/>
        </w:rPr>
        <w:t>64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926BC8" w:rsidRPr="00761213">
        <w:rPr>
          <w:rFonts w:eastAsia="Arial Unicode MS"/>
          <w:bCs/>
          <w:szCs w:val="28"/>
          <w:u w:color="000000"/>
        </w:rPr>
        <w:t>665</w:t>
      </w:r>
      <w:r w:rsidR="00AE0DEC" w:rsidRPr="00761213">
        <w:rPr>
          <w:rFonts w:eastAsia="Arial Unicode MS"/>
          <w:bCs/>
          <w:szCs w:val="28"/>
          <w:u w:color="000000"/>
        </w:rPr>
        <w:t xml:space="preserve"> ед.) сформировано на основании совокупных данных </w:t>
      </w:r>
      <w:r w:rsidR="006B051F" w:rsidRPr="00761213">
        <w:rPr>
          <w:rFonts w:eastAsia="Arial Unicode MS"/>
          <w:bCs/>
          <w:szCs w:val="28"/>
          <w:u w:color="000000"/>
        </w:rPr>
        <w:t xml:space="preserve">за 2017 год </w:t>
      </w:r>
      <w:r w:rsidR="00AE0DEC" w:rsidRPr="00761213">
        <w:rPr>
          <w:rFonts w:eastAsia="Arial Unicode MS"/>
          <w:bCs/>
          <w:szCs w:val="28"/>
          <w:u w:color="000000"/>
        </w:rPr>
        <w:t>по количеству учреждений культуры, находящихся в удовлетворительном состоянии.</w:t>
      </w:r>
    </w:p>
    <w:p w:rsidR="006B051F" w:rsidRPr="00761213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В расчет включены следующие виды учреждений: Дома культуры на селе, муниципальные библиотеки, детские театры.</w:t>
      </w:r>
    </w:p>
    <w:p w:rsidR="00AE0DEC" w:rsidRPr="00761213" w:rsidRDefault="00AE0DE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наблюдения.</w:t>
      </w:r>
    </w:p>
    <w:p w:rsidR="006B051F" w:rsidRPr="00761213" w:rsidRDefault="00BD776C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**</w:t>
      </w:r>
      <w:r w:rsidR="006B051F" w:rsidRPr="00761213">
        <w:rPr>
          <w:rFonts w:eastAsia="Arial Unicode MS"/>
          <w:bCs/>
          <w:szCs w:val="28"/>
          <w:u w:color="000000"/>
        </w:rPr>
        <w:t>2. Базовое значение показателя федерального проекта «Культурная среда»</w:t>
      </w:r>
      <w:r w:rsidR="006B051F" w:rsidRPr="00761213">
        <w:t xml:space="preserve"> «</w:t>
      </w:r>
      <w:r w:rsidR="006B051F" w:rsidRPr="00761213">
        <w:rPr>
          <w:rFonts w:eastAsia="Arial Unicode MS"/>
          <w:bCs/>
          <w:szCs w:val="28"/>
          <w:u w:color="000000"/>
        </w:rPr>
        <w:t>Количество организаций культуры, получивших современное оборудование» (2</w:t>
      </w:r>
      <w:r w:rsidR="00060D00">
        <w:rPr>
          <w:rFonts w:eastAsia="Arial Unicode MS"/>
          <w:bCs/>
          <w:szCs w:val="28"/>
          <w:u w:color="000000"/>
        </w:rPr>
        <w:t xml:space="preserve"> </w:t>
      </w:r>
      <w:r w:rsidR="006B051F" w:rsidRPr="00761213">
        <w:rPr>
          <w:rFonts w:eastAsia="Arial Unicode MS"/>
          <w:bCs/>
          <w:szCs w:val="28"/>
          <w:u w:color="000000"/>
        </w:rPr>
        <w:t>588 ед.) сформировано на основании совокупных данных за 2017 год по количеству специализированного автотранспорта клубов и библиотек, кинозалов, детских школ искусств и училищ, получивших оборудование в 2017 году.</w:t>
      </w:r>
    </w:p>
    <w:p w:rsidR="006B051F" w:rsidRPr="00761213" w:rsidRDefault="006B051F" w:rsidP="006B051F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  <w:r w:rsidRPr="00761213">
        <w:rPr>
          <w:rFonts w:eastAsia="Arial Unicode MS"/>
          <w:bCs/>
          <w:szCs w:val="28"/>
          <w:u w:color="000000"/>
        </w:rPr>
        <w:t>Источник данных: формы федерального статистического наблюдения и данные отраслевого мониторинга.</w:t>
      </w:r>
    </w:p>
    <w:p w:rsidR="006B051F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6B051F" w:rsidRPr="00AE0DEC" w:rsidRDefault="006B051F" w:rsidP="00AE0DEC">
      <w:pPr>
        <w:spacing w:line="276" w:lineRule="auto"/>
        <w:ind w:firstLine="709"/>
        <w:rPr>
          <w:rFonts w:eastAsia="Arial Unicode MS"/>
          <w:bCs/>
          <w:szCs w:val="28"/>
          <w:u w:color="000000"/>
        </w:rPr>
      </w:pPr>
    </w:p>
    <w:p w:rsidR="00AE0DEC" w:rsidRDefault="00AE0DEC" w:rsidP="00AE0DEC">
      <w:pPr>
        <w:spacing w:line="240" w:lineRule="exact"/>
        <w:rPr>
          <w:b/>
        </w:rPr>
      </w:pPr>
    </w:p>
    <w:p w:rsidR="00AE0DEC" w:rsidRPr="0095552A" w:rsidRDefault="00AE0DEC" w:rsidP="00AE0DEC">
      <w:pPr>
        <w:spacing w:line="240" w:lineRule="exact"/>
        <w:rPr>
          <w:b/>
        </w:rPr>
      </w:pPr>
    </w:p>
    <w:sectPr w:rsidR="00AE0DEC" w:rsidRPr="0095552A" w:rsidSect="0076502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8D" w:rsidRDefault="0081368D">
      <w:r>
        <w:separator/>
      </w:r>
    </w:p>
  </w:endnote>
  <w:endnote w:type="continuationSeparator" w:id="0">
    <w:p w:rsidR="0081368D" w:rsidRDefault="008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C8" w:rsidRDefault="003E5AC8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8D" w:rsidRDefault="0081368D">
      <w:r>
        <w:separator/>
      </w:r>
    </w:p>
  </w:footnote>
  <w:footnote w:type="continuationSeparator" w:id="0">
    <w:p w:rsidR="0081368D" w:rsidRDefault="0081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C8" w:rsidRDefault="003E5AC8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70701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C8" w:rsidRDefault="003E5AC8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1DC2"/>
    <w:rsid w:val="0000368B"/>
    <w:rsid w:val="0001100D"/>
    <w:rsid w:val="00015E81"/>
    <w:rsid w:val="00016BB2"/>
    <w:rsid w:val="00024297"/>
    <w:rsid w:val="000313F1"/>
    <w:rsid w:val="00033081"/>
    <w:rsid w:val="0003580A"/>
    <w:rsid w:val="000404D4"/>
    <w:rsid w:val="000412DC"/>
    <w:rsid w:val="00044AAC"/>
    <w:rsid w:val="00053204"/>
    <w:rsid w:val="0005478C"/>
    <w:rsid w:val="00055FD5"/>
    <w:rsid w:val="00057150"/>
    <w:rsid w:val="00060D00"/>
    <w:rsid w:val="00062BC3"/>
    <w:rsid w:val="000646AA"/>
    <w:rsid w:val="000668F6"/>
    <w:rsid w:val="00081BF9"/>
    <w:rsid w:val="000838B6"/>
    <w:rsid w:val="000843BB"/>
    <w:rsid w:val="000872EF"/>
    <w:rsid w:val="0009559F"/>
    <w:rsid w:val="00095D79"/>
    <w:rsid w:val="000A350C"/>
    <w:rsid w:val="000A4452"/>
    <w:rsid w:val="000B55BE"/>
    <w:rsid w:val="000B5A71"/>
    <w:rsid w:val="000C061C"/>
    <w:rsid w:val="000C09D0"/>
    <w:rsid w:val="000C41BA"/>
    <w:rsid w:val="000C643F"/>
    <w:rsid w:val="000D0443"/>
    <w:rsid w:val="000D0FE6"/>
    <w:rsid w:val="000D1934"/>
    <w:rsid w:val="000D5861"/>
    <w:rsid w:val="000D6C8A"/>
    <w:rsid w:val="000F1226"/>
    <w:rsid w:val="000F1D08"/>
    <w:rsid w:val="000F26C7"/>
    <w:rsid w:val="000F3186"/>
    <w:rsid w:val="000F43A9"/>
    <w:rsid w:val="000F6E55"/>
    <w:rsid w:val="001025AF"/>
    <w:rsid w:val="0010597A"/>
    <w:rsid w:val="001076B9"/>
    <w:rsid w:val="00112ECC"/>
    <w:rsid w:val="00117ACB"/>
    <w:rsid w:val="00120AC1"/>
    <w:rsid w:val="001215B1"/>
    <w:rsid w:val="00126A85"/>
    <w:rsid w:val="00131380"/>
    <w:rsid w:val="00132FDD"/>
    <w:rsid w:val="00135F83"/>
    <w:rsid w:val="001401D8"/>
    <w:rsid w:val="00141389"/>
    <w:rsid w:val="00143DF2"/>
    <w:rsid w:val="00150802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754B"/>
    <w:rsid w:val="00194E79"/>
    <w:rsid w:val="001A190B"/>
    <w:rsid w:val="001B13AD"/>
    <w:rsid w:val="001B4EF9"/>
    <w:rsid w:val="001B5253"/>
    <w:rsid w:val="001B666E"/>
    <w:rsid w:val="001B6DC3"/>
    <w:rsid w:val="001C395B"/>
    <w:rsid w:val="001C39EE"/>
    <w:rsid w:val="001D331E"/>
    <w:rsid w:val="001D34BC"/>
    <w:rsid w:val="001D364E"/>
    <w:rsid w:val="001D4C32"/>
    <w:rsid w:val="001D68A0"/>
    <w:rsid w:val="001E0782"/>
    <w:rsid w:val="001E4FE6"/>
    <w:rsid w:val="001E5F6A"/>
    <w:rsid w:val="001E65BF"/>
    <w:rsid w:val="001E7612"/>
    <w:rsid w:val="001F0BEE"/>
    <w:rsid w:val="001F1442"/>
    <w:rsid w:val="001F3637"/>
    <w:rsid w:val="001F6BEC"/>
    <w:rsid w:val="0020010C"/>
    <w:rsid w:val="0020058E"/>
    <w:rsid w:val="002062ED"/>
    <w:rsid w:val="00211B63"/>
    <w:rsid w:val="002172E2"/>
    <w:rsid w:val="00222BF3"/>
    <w:rsid w:val="00223945"/>
    <w:rsid w:val="00227986"/>
    <w:rsid w:val="00233AFE"/>
    <w:rsid w:val="0024514D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BAE"/>
    <w:rsid w:val="00275FEC"/>
    <w:rsid w:val="002778ED"/>
    <w:rsid w:val="00280420"/>
    <w:rsid w:val="00281626"/>
    <w:rsid w:val="002836FB"/>
    <w:rsid w:val="00291E55"/>
    <w:rsid w:val="002944D7"/>
    <w:rsid w:val="00296032"/>
    <w:rsid w:val="00297076"/>
    <w:rsid w:val="002B3066"/>
    <w:rsid w:val="002B3BA8"/>
    <w:rsid w:val="002B51EF"/>
    <w:rsid w:val="002D1B56"/>
    <w:rsid w:val="002D548C"/>
    <w:rsid w:val="002D5C0D"/>
    <w:rsid w:val="002D74B3"/>
    <w:rsid w:val="002D77DE"/>
    <w:rsid w:val="002E091E"/>
    <w:rsid w:val="002E4F44"/>
    <w:rsid w:val="002F583E"/>
    <w:rsid w:val="00300F01"/>
    <w:rsid w:val="0030413F"/>
    <w:rsid w:val="00304FD8"/>
    <w:rsid w:val="00313A9D"/>
    <w:rsid w:val="00313FC7"/>
    <w:rsid w:val="003148EE"/>
    <w:rsid w:val="00315F9E"/>
    <w:rsid w:val="00321A41"/>
    <w:rsid w:val="00322F1F"/>
    <w:rsid w:val="00325001"/>
    <w:rsid w:val="00325226"/>
    <w:rsid w:val="0032716C"/>
    <w:rsid w:val="0033148A"/>
    <w:rsid w:val="00331634"/>
    <w:rsid w:val="003364D5"/>
    <w:rsid w:val="0034140C"/>
    <w:rsid w:val="00342BEB"/>
    <w:rsid w:val="00351274"/>
    <w:rsid w:val="003522B2"/>
    <w:rsid w:val="00352B45"/>
    <w:rsid w:val="00357B5C"/>
    <w:rsid w:val="00357F94"/>
    <w:rsid w:val="00360A1F"/>
    <w:rsid w:val="003678CC"/>
    <w:rsid w:val="00370B9E"/>
    <w:rsid w:val="0037428F"/>
    <w:rsid w:val="00381CE5"/>
    <w:rsid w:val="00382126"/>
    <w:rsid w:val="00383A09"/>
    <w:rsid w:val="00383B7A"/>
    <w:rsid w:val="00386D2C"/>
    <w:rsid w:val="00387A63"/>
    <w:rsid w:val="003903CF"/>
    <w:rsid w:val="0039660A"/>
    <w:rsid w:val="003B3F3A"/>
    <w:rsid w:val="003C2D3A"/>
    <w:rsid w:val="003C3CDE"/>
    <w:rsid w:val="003C6572"/>
    <w:rsid w:val="003D3836"/>
    <w:rsid w:val="003D419A"/>
    <w:rsid w:val="003D659C"/>
    <w:rsid w:val="003D7473"/>
    <w:rsid w:val="003E5AC8"/>
    <w:rsid w:val="003F2CE7"/>
    <w:rsid w:val="003F5345"/>
    <w:rsid w:val="003F7E45"/>
    <w:rsid w:val="00402B99"/>
    <w:rsid w:val="0040499D"/>
    <w:rsid w:val="00406830"/>
    <w:rsid w:val="004103DE"/>
    <w:rsid w:val="004178A7"/>
    <w:rsid w:val="00421F29"/>
    <w:rsid w:val="00424BA1"/>
    <w:rsid w:val="004256CD"/>
    <w:rsid w:val="004257FA"/>
    <w:rsid w:val="004424EC"/>
    <w:rsid w:val="00451F01"/>
    <w:rsid w:val="00457F07"/>
    <w:rsid w:val="00463A0D"/>
    <w:rsid w:val="00466D1B"/>
    <w:rsid w:val="00470976"/>
    <w:rsid w:val="00473ABE"/>
    <w:rsid w:val="004744FD"/>
    <w:rsid w:val="00475652"/>
    <w:rsid w:val="0047573C"/>
    <w:rsid w:val="00476FCE"/>
    <w:rsid w:val="004812E6"/>
    <w:rsid w:val="00482ED8"/>
    <w:rsid w:val="00491091"/>
    <w:rsid w:val="00493F9F"/>
    <w:rsid w:val="0049434C"/>
    <w:rsid w:val="00495663"/>
    <w:rsid w:val="004A15D5"/>
    <w:rsid w:val="004A1962"/>
    <w:rsid w:val="004A235F"/>
    <w:rsid w:val="004A2EC8"/>
    <w:rsid w:val="004A5979"/>
    <w:rsid w:val="004A721C"/>
    <w:rsid w:val="004B614E"/>
    <w:rsid w:val="004B72DC"/>
    <w:rsid w:val="004B7DC3"/>
    <w:rsid w:val="004C0753"/>
    <w:rsid w:val="004C3526"/>
    <w:rsid w:val="004C5B85"/>
    <w:rsid w:val="004D6D99"/>
    <w:rsid w:val="004E3A76"/>
    <w:rsid w:val="004E69AC"/>
    <w:rsid w:val="004E6E51"/>
    <w:rsid w:val="004F3DA1"/>
    <w:rsid w:val="005029BE"/>
    <w:rsid w:val="005033E5"/>
    <w:rsid w:val="005039CE"/>
    <w:rsid w:val="005041FC"/>
    <w:rsid w:val="00524DEA"/>
    <w:rsid w:val="005324FD"/>
    <w:rsid w:val="00533EB6"/>
    <w:rsid w:val="005342A1"/>
    <w:rsid w:val="00534753"/>
    <w:rsid w:val="00536B23"/>
    <w:rsid w:val="00536B6C"/>
    <w:rsid w:val="00540A9E"/>
    <w:rsid w:val="00541F24"/>
    <w:rsid w:val="00544EF2"/>
    <w:rsid w:val="00547EB9"/>
    <w:rsid w:val="00551A6D"/>
    <w:rsid w:val="00552303"/>
    <w:rsid w:val="00553C54"/>
    <w:rsid w:val="00560401"/>
    <w:rsid w:val="00561F45"/>
    <w:rsid w:val="00564A61"/>
    <w:rsid w:val="00565511"/>
    <w:rsid w:val="0056679C"/>
    <w:rsid w:val="0057076E"/>
    <w:rsid w:val="005709D6"/>
    <w:rsid w:val="005744CD"/>
    <w:rsid w:val="00575BA5"/>
    <w:rsid w:val="005817EE"/>
    <w:rsid w:val="00584A4C"/>
    <w:rsid w:val="00585090"/>
    <w:rsid w:val="00591CDC"/>
    <w:rsid w:val="005A0755"/>
    <w:rsid w:val="005A0F05"/>
    <w:rsid w:val="005A1080"/>
    <w:rsid w:val="005A2213"/>
    <w:rsid w:val="005A41A0"/>
    <w:rsid w:val="005A5A8A"/>
    <w:rsid w:val="005A6922"/>
    <w:rsid w:val="005B1CA9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5A7F"/>
    <w:rsid w:val="005D5F71"/>
    <w:rsid w:val="005D7B73"/>
    <w:rsid w:val="005E07DE"/>
    <w:rsid w:val="005E21DC"/>
    <w:rsid w:val="005E4897"/>
    <w:rsid w:val="005E7C0A"/>
    <w:rsid w:val="005E7FE6"/>
    <w:rsid w:val="005F18B6"/>
    <w:rsid w:val="005F1CB1"/>
    <w:rsid w:val="005F4DB9"/>
    <w:rsid w:val="005F4E96"/>
    <w:rsid w:val="00600418"/>
    <w:rsid w:val="00600768"/>
    <w:rsid w:val="00603E60"/>
    <w:rsid w:val="00635824"/>
    <w:rsid w:val="00636383"/>
    <w:rsid w:val="006424C6"/>
    <w:rsid w:val="00644C40"/>
    <w:rsid w:val="00650A30"/>
    <w:rsid w:val="0065366E"/>
    <w:rsid w:val="0065570B"/>
    <w:rsid w:val="006559CF"/>
    <w:rsid w:val="00661740"/>
    <w:rsid w:val="00675CD4"/>
    <w:rsid w:val="006807F1"/>
    <w:rsid w:val="00693269"/>
    <w:rsid w:val="00694D56"/>
    <w:rsid w:val="006A5D77"/>
    <w:rsid w:val="006A60A3"/>
    <w:rsid w:val="006A6DCF"/>
    <w:rsid w:val="006B051F"/>
    <w:rsid w:val="006B2327"/>
    <w:rsid w:val="006B6FF7"/>
    <w:rsid w:val="006D4E61"/>
    <w:rsid w:val="006E30B8"/>
    <w:rsid w:val="006E56BB"/>
    <w:rsid w:val="006E5E5D"/>
    <w:rsid w:val="006F2192"/>
    <w:rsid w:val="006F3688"/>
    <w:rsid w:val="006F75F7"/>
    <w:rsid w:val="0071629C"/>
    <w:rsid w:val="00723DE9"/>
    <w:rsid w:val="00733607"/>
    <w:rsid w:val="007361F8"/>
    <w:rsid w:val="0074559F"/>
    <w:rsid w:val="00757FA9"/>
    <w:rsid w:val="00761213"/>
    <w:rsid w:val="00763C3E"/>
    <w:rsid w:val="00764150"/>
    <w:rsid w:val="00765020"/>
    <w:rsid w:val="0076682A"/>
    <w:rsid w:val="007754AC"/>
    <w:rsid w:val="0077620F"/>
    <w:rsid w:val="00782A50"/>
    <w:rsid w:val="007902B2"/>
    <w:rsid w:val="0079089A"/>
    <w:rsid w:val="0079775C"/>
    <w:rsid w:val="007A034D"/>
    <w:rsid w:val="007A36D8"/>
    <w:rsid w:val="007A6BDD"/>
    <w:rsid w:val="007A766A"/>
    <w:rsid w:val="007A7C84"/>
    <w:rsid w:val="007B1E7B"/>
    <w:rsid w:val="007B1EC9"/>
    <w:rsid w:val="007C1E6D"/>
    <w:rsid w:val="007C467D"/>
    <w:rsid w:val="007C649A"/>
    <w:rsid w:val="007D699A"/>
    <w:rsid w:val="007D759B"/>
    <w:rsid w:val="007E1053"/>
    <w:rsid w:val="007F5D12"/>
    <w:rsid w:val="00811F7A"/>
    <w:rsid w:val="00812EC9"/>
    <w:rsid w:val="00812F76"/>
    <w:rsid w:val="0081368D"/>
    <w:rsid w:val="00813C23"/>
    <w:rsid w:val="0081421D"/>
    <w:rsid w:val="008219FE"/>
    <w:rsid w:val="00826A6A"/>
    <w:rsid w:val="0083107E"/>
    <w:rsid w:val="00834453"/>
    <w:rsid w:val="008361F9"/>
    <w:rsid w:val="00836561"/>
    <w:rsid w:val="00847366"/>
    <w:rsid w:val="00850D58"/>
    <w:rsid w:val="00852087"/>
    <w:rsid w:val="008527CE"/>
    <w:rsid w:val="00852FD9"/>
    <w:rsid w:val="0085375C"/>
    <w:rsid w:val="00860EEB"/>
    <w:rsid w:val="00862F8B"/>
    <w:rsid w:val="00870701"/>
    <w:rsid w:val="0087593A"/>
    <w:rsid w:val="0089117B"/>
    <w:rsid w:val="008913D5"/>
    <w:rsid w:val="00892043"/>
    <w:rsid w:val="00892283"/>
    <w:rsid w:val="008A2167"/>
    <w:rsid w:val="008A5280"/>
    <w:rsid w:val="008C53E0"/>
    <w:rsid w:val="008D15AC"/>
    <w:rsid w:val="008D43CB"/>
    <w:rsid w:val="008D4509"/>
    <w:rsid w:val="008D6DDA"/>
    <w:rsid w:val="008E0C70"/>
    <w:rsid w:val="008E50C7"/>
    <w:rsid w:val="008F62E0"/>
    <w:rsid w:val="008F698E"/>
    <w:rsid w:val="008F7B87"/>
    <w:rsid w:val="0090643D"/>
    <w:rsid w:val="009162E8"/>
    <w:rsid w:val="0092313A"/>
    <w:rsid w:val="00926BC8"/>
    <w:rsid w:val="00932712"/>
    <w:rsid w:val="009333A1"/>
    <w:rsid w:val="009362AF"/>
    <w:rsid w:val="00937452"/>
    <w:rsid w:val="00943121"/>
    <w:rsid w:val="009437A4"/>
    <w:rsid w:val="00951904"/>
    <w:rsid w:val="00954C39"/>
    <w:rsid w:val="009554A8"/>
    <w:rsid w:val="0095552A"/>
    <w:rsid w:val="00967F40"/>
    <w:rsid w:val="00972702"/>
    <w:rsid w:val="00974681"/>
    <w:rsid w:val="009767F1"/>
    <w:rsid w:val="00976A2A"/>
    <w:rsid w:val="00990453"/>
    <w:rsid w:val="009A17BD"/>
    <w:rsid w:val="009A195F"/>
    <w:rsid w:val="009A39B4"/>
    <w:rsid w:val="009B1477"/>
    <w:rsid w:val="009B1A4E"/>
    <w:rsid w:val="009C0185"/>
    <w:rsid w:val="009C2EBC"/>
    <w:rsid w:val="009C4A44"/>
    <w:rsid w:val="009D187B"/>
    <w:rsid w:val="009D2372"/>
    <w:rsid w:val="009D37A9"/>
    <w:rsid w:val="009E0661"/>
    <w:rsid w:val="009E1309"/>
    <w:rsid w:val="009E6B41"/>
    <w:rsid w:val="009F1181"/>
    <w:rsid w:val="009F1C10"/>
    <w:rsid w:val="009F78A4"/>
    <w:rsid w:val="00A02A57"/>
    <w:rsid w:val="00A04788"/>
    <w:rsid w:val="00A14108"/>
    <w:rsid w:val="00A1502A"/>
    <w:rsid w:val="00A25D43"/>
    <w:rsid w:val="00A32C27"/>
    <w:rsid w:val="00A4029D"/>
    <w:rsid w:val="00A4366D"/>
    <w:rsid w:val="00A5099E"/>
    <w:rsid w:val="00A50ED5"/>
    <w:rsid w:val="00A56454"/>
    <w:rsid w:val="00A63447"/>
    <w:rsid w:val="00A636C5"/>
    <w:rsid w:val="00A66133"/>
    <w:rsid w:val="00A71110"/>
    <w:rsid w:val="00A74793"/>
    <w:rsid w:val="00A90B35"/>
    <w:rsid w:val="00A93427"/>
    <w:rsid w:val="00A97232"/>
    <w:rsid w:val="00A977BD"/>
    <w:rsid w:val="00AB2E12"/>
    <w:rsid w:val="00AB2EFE"/>
    <w:rsid w:val="00AC20BA"/>
    <w:rsid w:val="00AD13F7"/>
    <w:rsid w:val="00AD35E7"/>
    <w:rsid w:val="00AD69B3"/>
    <w:rsid w:val="00AE00A2"/>
    <w:rsid w:val="00AE0DEC"/>
    <w:rsid w:val="00AE4C57"/>
    <w:rsid w:val="00AE6ADA"/>
    <w:rsid w:val="00AF3095"/>
    <w:rsid w:val="00AF34D8"/>
    <w:rsid w:val="00AF6BFF"/>
    <w:rsid w:val="00AF7957"/>
    <w:rsid w:val="00B0344A"/>
    <w:rsid w:val="00B0422C"/>
    <w:rsid w:val="00B04EB5"/>
    <w:rsid w:val="00B12518"/>
    <w:rsid w:val="00B22230"/>
    <w:rsid w:val="00B36135"/>
    <w:rsid w:val="00B372BE"/>
    <w:rsid w:val="00B37334"/>
    <w:rsid w:val="00B43629"/>
    <w:rsid w:val="00B5008E"/>
    <w:rsid w:val="00B52EF1"/>
    <w:rsid w:val="00B5606A"/>
    <w:rsid w:val="00B56724"/>
    <w:rsid w:val="00B601EE"/>
    <w:rsid w:val="00B6384F"/>
    <w:rsid w:val="00B63AFA"/>
    <w:rsid w:val="00B72FC9"/>
    <w:rsid w:val="00B82397"/>
    <w:rsid w:val="00B8305D"/>
    <w:rsid w:val="00B8595E"/>
    <w:rsid w:val="00B85A1F"/>
    <w:rsid w:val="00B920B0"/>
    <w:rsid w:val="00B94A87"/>
    <w:rsid w:val="00B951A4"/>
    <w:rsid w:val="00BA5854"/>
    <w:rsid w:val="00BB2433"/>
    <w:rsid w:val="00BB5400"/>
    <w:rsid w:val="00BB569F"/>
    <w:rsid w:val="00BB75DC"/>
    <w:rsid w:val="00BC0383"/>
    <w:rsid w:val="00BC3F73"/>
    <w:rsid w:val="00BC6490"/>
    <w:rsid w:val="00BC7AF9"/>
    <w:rsid w:val="00BD18B1"/>
    <w:rsid w:val="00BD4E6A"/>
    <w:rsid w:val="00BD776C"/>
    <w:rsid w:val="00BE194E"/>
    <w:rsid w:val="00BE1E00"/>
    <w:rsid w:val="00BF1DB3"/>
    <w:rsid w:val="00BF7782"/>
    <w:rsid w:val="00BF7C3B"/>
    <w:rsid w:val="00C048EB"/>
    <w:rsid w:val="00C0510A"/>
    <w:rsid w:val="00C07093"/>
    <w:rsid w:val="00C14047"/>
    <w:rsid w:val="00C15DB9"/>
    <w:rsid w:val="00C178C9"/>
    <w:rsid w:val="00C2004A"/>
    <w:rsid w:val="00C26B96"/>
    <w:rsid w:val="00C30A67"/>
    <w:rsid w:val="00C3438D"/>
    <w:rsid w:val="00C35B09"/>
    <w:rsid w:val="00C52F1C"/>
    <w:rsid w:val="00C5360E"/>
    <w:rsid w:val="00C541CF"/>
    <w:rsid w:val="00C570B8"/>
    <w:rsid w:val="00C623A8"/>
    <w:rsid w:val="00C7079A"/>
    <w:rsid w:val="00C710A7"/>
    <w:rsid w:val="00C7473D"/>
    <w:rsid w:val="00C76670"/>
    <w:rsid w:val="00C77BE5"/>
    <w:rsid w:val="00C86179"/>
    <w:rsid w:val="00C87845"/>
    <w:rsid w:val="00C913C0"/>
    <w:rsid w:val="00C945A8"/>
    <w:rsid w:val="00CA2789"/>
    <w:rsid w:val="00CA780B"/>
    <w:rsid w:val="00CB33A0"/>
    <w:rsid w:val="00CB40ED"/>
    <w:rsid w:val="00CB57C8"/>
    <w:rsid w:val="00CB693B"/>
    <w:rsid w:val="00CC4860"/>
    <w:rsid w:val="00CC7021"/>
    <w:rsid w:val="00CD73AF"/>
    <w:rsid w:val="00CD7729"/>
    <w:rsid w:val="00CD7F5E"/>
    <w:rsid w:val="00CE2CA6"/>
    <w:rsid w:val="00CE52C4"/>
    <w:rsid w:val="00CE61C7"/>
    <w:rsid w:val="00CE69EE"/>
    <w:rsid w:val="00CF0E5E"/>
    <w:rsid w:val="00CF2A79"/>
    <w:rsid w:val="00CF324E"/>
    <w:rsid w:val="00CF34B0"/>
    <w:rsid w:val="00CF5A34"/>
    <w:rsid w:val="00D00127"/>
    <w:rsid w:val="00D03A75"/>
    <w:rsid w:val="00D062BE"/>
    <w:rsid w:val="00D062D0"/>
    <w:rsid w:val="00D062D5"/>
    <w:rsid w:val="00D075DC"/>
    <w:rsid w:val="00D112D4"/>
    <w:rsid w:val="00D2043E"/>
    <w:rsid w:val="00D20760"/>
    <w:rsid w:val="00D20900"/>
    <w:rsid w:val="00D301D6"/>
    <w:rsid w:val="00D33715"/>
    <w:rsid w:val="00D37E8F"/>
    <w:rsid w:val="00D405A7"/>
    <w:rsid w:val="00D4156B"/>
    <w:rsid w:val="00D41EB8"/>
    <w:rsid w:val="00D46075"/>
    <w:rsid w:val="00D47334"/>
    <w:rsid w:val="00D519B8"/>
    <w:rsid w:val="00D6260B"/>
    <w:rsid w:val="00D629C1"/>
    <w:rsid w:val="00D703B3"/>
    <w:rsid w:val="00D97E7C"/>
    <w:rsid w:val="00DA08BC"/>
    <w:rsid w:val="00DA3D69"/>
    <w:rsid w:val="00DA6E7A"/>
    <w:rsid w:val="00DB58FB"/>
    <w:rsid w:val="00DB6FD1"/>
    <w:rsid w:val="00DC09E0"/>
    <w:rsid w:val="00DC44B0"/>
    <w:rsid w:val="00DC58DE"/>
    <w:rsid w:val="00DD117F"/>
    <w:rsid w:val="00DF4590"/>
    <w:rsid w:val="00E030B0"/>
    <w:rsid w:val="00E1553A"/>
    <w:rsid w:val="00E157DD"/>
    <w:rsid w:val="00E24DF6"/>
    <w:rsid w:val="00E25DB2"/>
    <w:rsid w:val="00E32081"/>
    <w:rsid w:val="00E35B87"/>
    <w:rsid w:val="00E373D3"/>
    <w:rsid w:val="00E424BA"/>
    <w:rsid w:val="00E43540"/>
    <w:rsid w:val="00E446BB"/>
    <w:rsid w:val="00E45A29"/>
    <w:rsid w:val="00E45E96"/>
    <w:rsid w:val="00E50E12"/>
    <w:rsid w:val="00E54496"/>
    <w:rsid w:val="00E54E24"/>
    <w:rsid w:val="00E57128"/>
    <w:rsid w:val="00E60828"/>
    <w:rsid w:val="00E7379E"/>
    <w:rsid w:val="00E81C1E"/>
    <w:rsid w:val="00E829F3"/>
    <w:rsid w:val="00E851C7"/>
    <w:rsid w:val="00E94067"/>
    <w:rsid w:val="00E94E7F"/>
    <w:rsid w:val="00E964D1"/>
    <w:rsid w:val="00EA08A3"/>
    <w:rsid w:val="00EA2CAE"/>
    <w:rsid w:val="00EA5C3A"/>
    <w:rsid w:val="00EB207F"/>
    <w:rsid w:val="00EB2385"/>
    <w:rsid w:val="00EB76FE"/>
    <w:rsid w:val="00EC1C7A"/>
    <w:rsid w:val="00EC342F"/>
    <w:rsid w:val="00EC3ABF"/>
    <w:rsid w:val="00EC68D2"/>
    <w:rsid w:val="00EC7080"/>
    <w:rsid w:val="00ED02FE"/>
    <w:rsid w:val="00ED0759"/>
    <w:rsid w:val="00ED1B39"/>
    <w:rsid w:val="00ED23B4"/>
    <w:rsid w:val="00ED44A8"/>
    <w:rsid w:val="00ED5BC5"/>
    <w:rsid w:val="00EE1758"/>
    <w:rsid w:val="00EE3344"/>
    <w:rsid w:val="00EE3E3E"/>
    <w:rsid w:val="00F01A17"/>
    <w:rsid w:val="00F053F2"/>
    <w:rsid w:val="00F06ED4"/>
    <w:rsid w:val="00F1590E"/>
    <w:rsid w:val="00F16AA1"/>
    <w:rsid w:val="00F25684"/>
    <w:rsid w:val="00F25901"/>
    <w:rsid w:val="00F270E9"/>
    <w:rsid w:val="00F27686"/>
    <w:rsid w:val="00F32039"/>
    <w:rsid w:val="00F33F4F"/>
    <w:rsid w:val="00F343E6"/>
    <w:rsid w:val="00F34417"/>
    <w:rsid w:val="00F35026"/>
    <w:rsid w:val="00F37C77"/>
    <w:rsid w:val="00F41085"/>
    <w:rsid w:val="00F433FE"/>
    <w:rsid w:val="00F43AC5"/>
    <w:rsid w:val="00F43BE4"/>
    <w:rsid w:val="00F465B5"/>
    <w:rsid w:val="00F51933"/>
    <w:rsid w:val="00F5232E"/>
    <w:rsid w:val="00F5789C"/>
    <w:rsid w:val="00F57BF8"/>
    <w:rsid w:val="00F60B36"/>
    <w:rsid w:val="00F72E13"/>
    <w:rsid w:val="00F913FE"/>
    <w:rsid w:val="00F95B46"/>
    <w:rsid w:val="00FA1672"/>
    <w:rsid w:val="00FA4D35"/>
    <w:rsid w:val="00FA62F4"/>
    <w:rsid w:val="00FB2C5C"/>
    <w:rsid w:val="00FB4FB8"/>
    <w:rsid w:val="00FB5D89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2072"/>
    <w:rsid w:val="00FF0EB0"/>
    <w:rsid w:val="00FF4874"/>
    <w:rsid w:val="00FF629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1F55-FB1D-4E74-A06D-AE60A431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0636E-CC40-43EC-B13A-4BDA0963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Алексеева Жанна Владимировна</cp:lastModifiedBy>
  <cp:revision>3</cp:revision>
  <cp:lastPrinted>2018-09-25T10:33:00Z</cp:lastPrinted>
  <dcterms:created xsi:type="dcterms:W3CDTF">2018-09-25T11:59:00Z</dcterms:created>
  <dcterms:modified xsi:type="dcterms:W3CDTF">2018-09-25T11:59:00Z</dcterms:modified>
</cp:coreProperties>
</file>